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klagomål behandlar höga naturvärden i avverkningsanmälan A 51148-2024 i Krokoms kommun som inkom 2024-11-07 och omfattar 21,9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7015756, E 471376 i SWEREF 99 TM.</w:t>
      </w:r>
    </w:p>
    <w:p>
      <w:r>
        <w:t>I och inom 21 meter från avverkningsanmälan finns fynd av 25 naturvårdsarter, varav 19 är rödlistade, 6 är fridlysta, 14 är typiska (T) och 4 är signalarter (S): blackticka (VU), garnlav (VU, T), gränsticka (VU, T), knärot (VU, T, §8), smalskaftslav (VU), flattoppad klubbsvamp (NT), grantaggsvamp (NT), gultoppig fingersvamp (NT), lunglav (NT, T), orange taggsvamp (NT, T), persiljespindling (NT), rosenticka (NT, T), rynkskinn (NT, T), såpfingersvamp (NT), tretåig hackspett (NT, T, §4), ullticka (NT, T), vitgrynig nållav (NT), vårärt (NT, T), äggvaxskivling (NT), spindelblomster (S, T, §8), stuplav (S, T), svavelriska (S), tvåblad (S, §8),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