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3220-2025 i Krokoms kommun</w:t>
      </w:r>
    </w:p>
    <w:p>
      <w:r>
        <w:t>Detta dokument behandlar höga naturvärden i avverkningsanmälan A 3220-2025 i Krokoms kommun. Denna avverkningsanmälan inkom 2025-01-22 och omfattar 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flugblomster (S, §8), gräsull (S), guckusko (S, §7), tvåblad (S, §8), brudsporre (§8), Dactylorhiza incarnata subsp. incarnata (§8), fläcknycklar (§8) och ängsnycklar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3220-2025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7059686, E 482081 i SWEREF 99 TM.</w:t>
      </w:r>
    </w:p>
    <w:p>
      <w:pPr>
        <w:pStyle w:val="Heading1"/>
      </w:pPr>
      <w:r>
        <w:t>Fridlysta arter</w:t>
      </w:r>
    </w:p>
    <w:p>
      <w:r>
        <w:t>Följande fridlysta arter har sina livsmiljöer och växtplatser i den avverkningsanmälda skogen: flugblomster (S, §8), guckusko (S, §7), tvåblad (S, §8), brudsporre (§8), Dactylorhiza incarnata subsp. incarnata (§8), fläcknycklar (§8) och ängsnycklar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