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438-2022 i Krokoms kommun</w:t>
      </w:r>
    </w:p>
    <w:p>
      <w:r>
        <w:t>Detta klagomål behandlar höga naturvärden i avverkningsanmälan A 438-2022 i Krokoms kommun som inkom 2022-01-04 och omfattar 4,5 ha.</w:t>
      </w:r>
    </w:p>
    <w:p>
      <w:pPr>
        <w:pStyle w:val="Caption"/>
      </w:pPr>
      <w:r>
        <w:drawing>
          <wp:inline xmlns:a="http://schemas.openxmlformats.org/drawingml/2006/main" xmlns:pic="http://schemas.openxmlformats.org/drawingml/2006/picture">
            <wp:extent cx="5486400" cy="5185263"/>
            <wp:docPr id="1" name="Picture 1"/>
            <wp:cNvGraphicFramePr>
              <a:graphicFrameLocks noChangeAspect="1"/>
            </wp:cNvGraphicFramePr>
            <a:graphic>
              <a:graphicData uri="http://schemas.openxmlformats.org/drawingml/2006/picture">
                <pic:pic>
                  <pic:nvPicPr>
                    <pic:cNvPr id="0" name="A 438-2022 karta.png"/>
                    <pic:cNvPicPr/>
                  </pic:nvPicPr>
                  <pic:blipFill>
                    <a:blip r:embed="rId16"/>
                    <a:stretch>
                      <a:fillRect/>
                    </a:stretch>
                  </pic:blipFill>
                  <pic:spPr>
                    <a:xfrm>
                      <a:off x="0" y="0"/>
                      <a:ext cx="5486400" cy="5185263"/>
                    </a:xfrm>
                    <a:prstGeom prst="rect"/>
                  </pic:spPr>
                </pic:pic>
              </a:graphicData>
            </a:graphic>
          </wp:inline>
        </w:drawing>
      </w:r>
    </w:p>
    <w:p>
      <w:pPr>
        <w:pStyle w:val="Caption"/>
        <w:spacing w:after="240"/>
      </w:pPr>
      <w:r>
        <w:t>Figur 1. Fyndplatser för naturvårdsarter i och inom 12 meter från avverkningsanmälan. Markörer utan svart kant är placerade på fyndplatsen. Markörer med svart kant är placerade vid sidan av fyndplatsen och har ett svart streck som visar fyndplatsens exakta position. Kartans mittpunktskoordinat är N 7034158, E 447160 i SWEREF 99 TM.</w:t>
      </w:r>
    </w:p>
    <w:p>
      <w:r>
        <w:t>I och inom 12 meter från avverkningsanmälan finns fynd av 18 naturvårdsarter, varav 10 är rödlistade, 5 är fridlysta, 13 är typiska (T) och 6 är signalarter (S): garnlav (VU, T), läderdoftande fingersvamp (VU), ulltickeporing (VU), brunpudrad nållav (NT, T), gammelgransskål (NT, T), skrovellav (NT, T), talltita (NT, §4), tretåig hackspett (NT, T, §4), ullticka (NT, T), vitgrynig nållav (NT), gytterlav (S, T), korallblylav (S, T), spindelblomster (S, T, §8), stuplav (S, T), vedticka (S, T), ögonpyrola (S, T), järpe (T, §4) och fläcknycklar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 xml:space="preserve">Läderdoftande fingersvamp (VU) </w:t>
      </w:r>
      <w:r>
        <w:t>bildar mykorrhiza med gran i örtrik äldre barrskog, ofta på kalkrik mark. Den har en speciell doft som kan påminna om nytt skoläder (skoaffär), därav det svenska namnet. Den totala populationen i landet bedöms ändå ha minskat starkt och fortsatt kommer att minska då arten är knuten till en bördig äldre kalkgranskogsmiljö som successivt avverkas och där få områden alltjämt är formellt skyddade. All form av hårdhänt skogsavverkning på eller i närheten av växtplatsen missgynnar arten. Artens huvudsakliga koppling till produktiva äldre granskogar med hög bonitet gör den särskilt utsatt för slutavverkning. Samtliga lokaler bör undantas från rationellt skogsbruk och få ett områdesskydd (SLU Artdatabanken, 2024; Nitare &amp; Skogsstyrelsen, 2019).</w:t>
      </w:r>
    </w:p>
    <w:p>
      <w:r>
        <w:rPr>
          <w:b/>
        </w:rPr>
        <w:t xml:space="preserve">Ulltickeporing </w:t>
      </w:r>
      <w:r>
        <w:rPr>
          <w:b/>
          <w:i/>
        </w:rPr>
        <w:t>Skeletocutis brevispora</w:t>
      </w:r>
      <w:r>
        <w:rPr>
          <w:b/>
        </w:rPr>
        <w:t xml:space="preserve"> (VU)</w:t>
      </w:r>
      <w:r>
        <w:t>, rödlistad som sårbar, växer på ullticka (NT) i naturskogsartade granskogar. Avverkning av naturskogslika miljöer och av grova granar där ulltickeporing förekommer är ett direkt hot mot artens fortlevnad. Alla skogliga åtgärder som innebär att lågor och döda eller skadade träd tas bort missgynnar arten. På sikt är minskad tillgång till lämpligt substrat och krympande areal av naturskog ett hot, framförallt råder brist på grov ved som lågor i sena nedbrytningsstadier. Ytterligare fragmentering av skogslandskapet minskar artens möjligheter till spridning. Gamla granskogar som hyser arten undantas helt från skogsbruk (SLU Artdatabanken, 2024).</w:t>
      </w:r>
    </w:p>
    <w:p>
      <w:r>
        <w:rPr>
          <w:b/>
        </w:rPr>
        <w:t>Brunpudrad nållav (NT)</w:t>
      </w:r>
      <w:r>
        <w:t xml:space="preserve"> är beroende av hög, jämn luftfuktighet och kan påträffas i fuktiga skogar av naturskogskaraktär, ofta i sumpgranskog eller andra sumpskogar. Arten är placerad högst upp i Skogsstyrelsens värdepyramid för bedömning av skog med höga naturvärden och förekomster bör undantas från skogsbruksåtgärder. Brunpudrad nållav är typisk art för </w:t>
      </w:r>
      <w:r>
        <w:rPr>
          <w:i/>
        </w:rPr>
        <w:t>9010 Taiga</w:t>
      </w:r>
      <w:r>
        <w:t xml:space="preserve"> (SLU Artdatabanken, 2024; Nitare &amp; Skogsstyrelsen, 2019).</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 xml:space="preserve">Gytterlav </w:t>
      </w:r>
      <w:r>
        <w:t xml:space="preserve">signalerar höga naturvärden i södra och mellersta Sverige, samt längs Norrlands kustland. Förekomster i söder, framför allt på trädstammar, är en indikation på gammal skogsmark med långvarig förekomst av äldre lövträd i miljöer med hög och jämn luftfuktighet. Gytterlav är typisk art för </w:t>
      </w:r>
      <w:r>
        <w:rPr>
          <w:i/>
        </w:rPr>
        <w:t xml:space="preserve">9040 Fjällbjörkskog </w:t>
      </w:r>
      <w:r>
        <w:t>(Nitare &amp; Skogsstyrelsen, 2019; SLU Artdatabanken, 2025).</w:t>
      </w:r>
    </w:p>
    <w:p>
      <w:r>
        <w:rPr>
          <w:b/>
        </w:rPr>
        <w:t>Korallblylav</w:t>
      </w:r>
      <w:r>
        <w:t xml:space="preserve"> växer på bark av asp, ask, rönn, sälg, bok och lönn och signalerar överallt skogsbestånd med höga naturvärden och den följs nästan alltid av andra ovanliga och rödlistade arter. Den indikerar hög och jämn luftfuktighet och växer främst i områden med lång skoglig kontinuitet där det funnits ett ständigt inslag av gamla lövträd. Korallblylav är typisk art för </w:t>
      </w:r>
      <w:r>
        <w:rPr>
          <w:i/>
        </w:rPr>
        <w:t xml:space="preserve">9020 Nordlig ädellövskog, 9070 Trädklädd betesmark, 9160 Näringsrik ekskog, 9180 Ädellövskog i branter </w:t>
      </w:r>
      <w:r>
        <w:t>och</w:t>
      </w:r>
      <w:r>
        <w:rPr>
          <w:i/>
        </w:rPr>
        <w:t xml:space="preserve"> 9190 Näringsfattig ekskog</w:t>
      </w:r>
      <w:r>
        <w:t xml:space="preserve"> (SLU Artdatabanken, 2024; Nitare &amp; Skogsstyrelsen, 2019).</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 xml:space="preserve">Ögonpyrola </w:t>
      </w:r>
      <w:r>
        <w:t xml:space="preserve">är normalt en bra signalart som visar på områden med höga naturvärden och stabila förhållanden, särskilt inom näringsfattiga trakter. Växten är mycket känslig för markskador och försvinner snabbt efter slutavverkning. Den hotas också av skogsgödsling och markavvattning. Ögonpyrola är typisk art för </w:t>
      </w:r>
      <w:r>
        <w:rPr>
          <w:i/>
        </w:rPr>
        <w:t>9010 Taiga</w:t>
      </w:r>
      <w:r>
        <w:t xml:space="preserve"> och</w:t>
      </w:r>
      <w:r>
        <w:rPr>
          <w:i/>
        </w:rPr>
        <w:t xml:space="preserve"> 9070 Trädklädd betesmark</w:t>
      </w:r>
      <w:r>
        <w:t xml:space="preserve"> (Nitare &amp; Skogsstyrelsen, 2019; SLU Artdatabanken, 2024).</w:t>
      </w:r>
    </w:p>
    <w:p>
      <w:r>
        <w:rPr>
          <w:b/>
        </w:rPr>
        <w:t>Järpe (§4)</w:t>
      </w:r>
      <w:r>
        <w:t xml:space="preserve">, som är upptagen i bilaga 1 och 2 EU:s fågeldirektiv, är mycket stationär inom sitt revir som är minst 25 hektar stort. Livsmiljöerna utgörs av tät barrskog med inblandning av lövträd och en väl utvecklad flerskiktad struktur med bärris och yngre eller undertryckta, täta granar i ett lägre skikt, ofta utmed bäckar och åar inne i den skyddande granskogen. Den överlever inte om dess livsmiljö kalavverkas och är även känslig för röjning, gallring och avverkning där unga granar och lövträd inte sparas i tillräcklig omfattning. Arten finns i sammanhängande grandominerad skog över hela Sverige men förekomsterna är betydligt glesare i Götaland än i övriga landet. Järpe är typisk art för </w:t>
      </w:r>
      <w:r>
        <w:rPr>
          <w:i/>
        </w:rPr>
        <w:t xml:space="preserve">9010 Taiga, 9080 Lövsumpskog </w:t>
      </w:r>
      <w:r>
        <w:t xml:space="preserve">och </w:t>
      </w:r>
      <w:r>
        <w:rPr>
          <w:i/>
        </w:rPr>
        <w:t xml:space="preserve">9740 Skogsbevuxen myr </w:t>
      </w:r>
      <w:r>
        <w:t>(SLU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18 naturvårdsarter varav 10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Ulltickeporing – ekologi samt krav på livsmiljön</w:t>
      </w:r>
    </w:p>
    <w:p>
      <w:r>
        <w:t xml:space="preserve">Ulltickeporing </w:t>
      </w:r>
      <w:r>
        <w:rPr>
          <w:i/>
        </w:rPr>
        <w:t>Skeletocutis brevispora</w:t>
      </w:r>
      <w:r>
        <w:t xml:space="preserve"> (VU), rödlistad som sårbar, växer på ullticka (NT) i naturskogsartade granskogar. Avverkning av naturskogslika miljöer och av grova granar där ulltickeporing förekommer är ett direkt hot mot artens fortlevnad Alla skogliga åtgärder som innebär att lågor och döda eller skadade träd tas bort missgynnar arten. På sikt är minskad tillgång till lämpligt substrat och krympande areal av naturskog ett hot, framförallt råder brist på grov ved som lågor i sena nedbrytningsstadier. Ytterligare fragmentering av skogslandskapet minskar artens möjligheter till spridning. Gamla granskogar som hyser arten undantas helt från skogsbruk (SLU Artdatabanken, 2026).</w:t>
      </w:r>
    </w:p>
    <w:p>
      <w:r>
        <w:t xml:space="preserve">Ulltickeporingen har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(SLU Artdatabanken, 2026; Miettinen &amp; Niemelä, 2018).</w:t>
      </w:r>
    </w:p>
    <w:p>
      <w:pPr>
        <w:pStyle w:val="Heading2"/>
      </w:pPr>
      <w:r>
        <w:t>Referenser – ulltickeporing</w:t>
      </w:r>
    </w:p>
    <w:p>
      <w:r>
        <w:t xml:space="preserve">Miettinen, O. &amp; Niemelä, T., 2018. </w:t>
      </w:r>
      <w:r>
        <w:rPr>
          <w:i/>
        </w:rPr>
        <w:t>Two new temperate polypore species of Skeletocutis (Polyporales, Basidiomycota)</w:t>
      </w:r>
      <w:r>
        <w:t>. Ann. Bot. Fennici 55: 195–206.</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Järpe – ekologi samt krav på livsmiljön</w:t>
      </w:r>
    </w:p>
    <w:p>
      <w:r>
        <w:t>Järpe är fridlyst enligt 4§ artskyddsförordningen och upptagen i bilaga 1 och 2 EU:s fågeldirektiv. Den finns i sammanhängande grandominerad skog över hela Sverige men förekomsterna är betydligt glesare i Götaland än i övriga landet. Järpen har sina livsmiljöer i tät barrskog med inblandning av lövträd och en väl utvecklad flerskiktad struktur med bärris och yngre eller undertryckta, täta granar i ett lägre skikt, ofta utmed bäckar och åar inne i den skyddande granskogen (SLU Artdatabanken, 2026).</w:t>
      </w:r>
    </w:p>
    <w:p>
      <w:r>
        <w:t xml:space="preserve">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Järpe är typisk art för </w:t>
      </w:r>
      <w:r>
        <w:rPr>
          <w:i/>
        </w:rPr>
        <w:t>9010 Taiga, 9740 Skogsbevuxen myr</w:t>
      </w:r>
      <w:r>
        <w:t xml:space="preserve"> och </w:t>
      </w:r>
      <w:r>
        <w:rPr>
          <w:i/>
        </w:rPr>
        <w:t>9080 Lövsumpskog</w:t>
      </w:r>
      <w:r>
        <w:t xml:space="preserve"> (SLU Artdatabanken, 2026).</w:t>
      </w:r>
    </w:p>
    <w:p>
      <w:pPr>
        <w:pStyle w:val="Heading2"/>
      </w:pPr>
      <w:r>
        <w:t>Referenser – järpe</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