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30414-2026 i Krokoms kommun</w:t>
      </w:r>
    </w:p>
    <w:p>
      <w:r>
        <w:t>Denna tillsynsbegäran behandlar höga naturvärden i avverkningsanmälan A 30414-2026 i Krokoms kommun som inkom 2026-07-06 och omfattar 7,7 ha.</w:t>
      </w:r>
    </w:p>
    <w:p>
      <w:pPr>
        <w:pStyle w:val="Caption"/>
      </w:pPr>
      <w:r>
        <w:drawing>
          <wp:inline xmlns:a="http://schemas.openxmlformats.org/drawingml/2006/main" xmlns:pic="http://schemas.openxmlformats.org/drawingml/2006/picture">
            <wp:extent cx="4604771" cy="5724000"/>
            <wp:docPr id="1" name="Picture 1"/>
            <wp:cNvGraphicFramePr>
              <a:graphicFrameLocks noChangeAspect="1"/>
            </wp:cNvGraphicFramePr>
            <a:graphic>
              <a:graphicData uri="http://schemas.openxmlformats.org/drawingml/2006/picture">
                <pic:pic>
                  <pic:nvPicPr>
                    <pic:cNvPr id="0" name="A 30414-2026 karta.png"/>
                    <pic:cNvPicPr/>
                  </pic:nvPicPr>
                  <pic:blipFill>
                    <a:blip r:embed="rId16"/>
                    <a:stretch>
                      <a:fillRect/>
                    </a:stretch>
                  </pic:blipFill>
                  <pic:spPr>
                    <a:xfrm>
                      <a:off x="0" y="0"/>
                      <a:ext cx="460477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7095998, E 467693 i SWEREF 99 TM.</w:t>
      </w:r>
    </w:p>
    <w:p>
      <w:r>
        <w:t>I och inom 24 meter från avverkningsanmälan finns fynd av 23 naturvårdsarter, varav 14 är rödlistade, 5 är fridlysta, 19 är typiska (T) och 7 är signalarter (S): aspgelélav (VU, T), garnlav (VU, T), gräddporing (VU, T), gränsticka (VU, T), knärot (VU, T, §8), dvärgbägarlav (NT, T), kolflarnlav (NT, T), lunglav (NT, T), mörk kolflarnlav (NT), skrovellav (NT, T), talltagel (NT, T), talltita (NT, §4), ullticka (NT, T), vedskivlav (NT, T), bårdlav (S, T), dvärgtufs (S), korallblylav (S, T), luddlav (S, T), norrlandslav (S, T), spindelblomster (S, T, §8), stuplav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3.61 ha med buffertzonerna och får av detta skäl inte avverkas.</w:t>
      </w:r>
    </w:p>
    <w:p>
      <w:pPr>
        <w:pStyle w:val="Caption"/>
      </w:pPr>
      <w:r>
        <w:drawing>
          <wp:inline xmlns:a="http://schemas.openxmlformats.org/drawingml/2006/main" xmlns:pic="http://schemas.openxmlformats.org/drawingml/2006/picture">
            <wp:extent cx="5486400" cy="9776745"/>
            <wp:docPr id="2" name="Picture 2"/>
            <wp:cNvGraphicFramePr>
              <a:graphicFrameLocks noChangeAspect="1"/>
            </wp:cNvGraphicFramePr>
            <a:graphic>
              <a:graphicData uri="http://schemas.openxmlformats.org/drawingml/2006/picture">
                <pic:pic>
                  <pic:nvPicPr>
                    <pic:cNvPr id="0" name="A 30414-2026 karta knärot.png"/>
                    <pic:cNvPicPr/>
                  </pic:nvPicPr>
                  <pic:blipFill>
                    <a:blip r:embed="rId17"/>
                    <a:stretch>
                      <a:fillRect/>
                    </a:stretch>
                  </pic:blipFill>
                  <pic:spPr>
                    <a:xfrm>
                      <a:off x="0" y="0"/>
                      <a:ext cx="5486400" cy="97767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7095998, E 467693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gräddporing (VU, T), gränsticka (VU, T), knärot (VU, T, §8), dvärgbägarlav (NT, T), kolflarnlav (NT, T), lunglav (NT, T), skrovellav (NT, T), talltagel (NT, T), ullticka (NT, T), vedskivlav (NT, T), bårdlav (S, T), korallblylav (S, T), luddlav (S, T), norrlandslav (S, T),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