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6253-2026 i Krokoms kommun</w:t>
      </w:r>
    </w:p>
    <w:p>
      <w:r>
        <w:t>Denna tillsynsbegäran behandlar höga naturvärden i avverkningsanmälan A 6253-2026 i Krokoms kommun som inkom 2026-02-02 och omfattar 12,1 ha.</w:t>
      </w:r>
    </w:p>
    <w:p>
      <w:pPr>
        <w:pStyle w:val="Caption"/>
      </w:pPr>
      <w:r>
        <w:drawing>
          <wp:inline xmlns:a="http://schemas.openxmlformats.org/drawingml/2006/main" xmlns:pic="http://schemas.openxmlformats.org/drawingml/2006/picture">
            <wp:extent cx="5486400" cy="3476605"/>
            <wp:docPr id="1" name="Picture 1"/>
            <wp:cNvGraphicFramePr>
              <a:graphicFrameLocks noChangeAspect="1"/>
            </wp:cNvGraphicFramePr>
            <a:graphic>
              <a:graphicData uri="http://schemas.openxmlformats.org/drawingml/2006/picture">
                <pic:pic>
                  <pic:nvPicPr>
                    <pic:cNvPr id="0" name="A 6253-2026 karta.png"/>
                    <pic:cNvPicPr/>
                  </pic:nvPicPr>
                  <pic:blipFill>
                    <a:blip r:embed="rId16"/>
                    <a:stretch>
                      <a:fillRect/>
                    </a:stretch>
                  </pic:blipFill>
                  <pic:spPr>
                    <a:xfrm>
                      <a:off x="0" y="0"/>
                      <a:ext cx="5486400" cy="347660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7059366, E 418782 i SWEREF 99 TM.</w:t>
      </w:r>
    </w:p>
    <w:p>
      <w:r>
        <w:t>I och inom 3 meter från avverkningsanmälan finns fynd av 13 naturvårdsarter, varav 8 är rödlistade, 2 är fridlysta, 9 är typiska (T) och 5 är signalarter (S): garnlav (VU, T), liten sotlav (VU, T), norsk näverlav (VU), skuggkraterlav (VU), gammelgransskål (NT, T), liten svartspik (NT), talltita (NT, §4), tretåig hackspett (NT, T, §4), gytterlav (S, T), luddlav (S, T), sotlav (S, T), stuplav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Skuggkraterlav (VU)</w:t>
      </w:r>
      <w:r>
        <w:t xml:space="preserve"> växer synnerligen skuggat i branta gamla granskogar och raviner med mycket hög luftfuktighet. Arten överlever inte en slutavverkning (inklusive hänsyn) och den finns idag enbart kvar i kontinuitetsskogar. Samtliga lokaler måste skyddas och lämnas för fri utveckling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liten sotlav (VU, T), gammelgransskål (NT, T), tretåig hackspett (NT, T, §4), gytterlav (S, T), luddlav (S, T), sotlav (S, T), stuplav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