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57461-2024 i Krokoms kommun</w:t>
      </w:r>
    </w:p>
    <w:p>
      <w:r>
        <w:t>Denna tillsynsbegäran behandlar höga naturvärden i avverkningsanmälan A 57461-2024 i Krokoms kommun som inkom 2024-12-04 och omfattar 4,6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57461-2024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7025836, E 463287 i SWEREF 99 TM.</w:t>
      </w:r>
    </w:p>
    <w:p>
      <w:r>
        <w:t>I och inom 22 meter från avverkningsanmälan finns fynd av 21 naturvårdsarter, varav 9 är rödlistade, 3 är fridlysta, 14 är typiska (T) och 10 är signalarter (S): garnlav (VU, T), knärot (VU, T, §8), barrviolspindling (NT), fjällig taggsvamp s.str. (NT), persiljespindling (NT), rynkskinn (NT, T), talltagel (NT, T), ullticka (NT, T), vitgrynig nållav (NT), bårdlav (S, T), dvärgtufs (S), gytterlav (S, T), korallblylav (S, T), luddlav (S, T), skinnlav (S, T), stuplav (S, T), svavelriska (S), trådticka (S, T), vedticka (S, T), spillkråka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5904373"/>
            <wp:docPr id="2" name="Picture 2"/>
            <wp:cNvGraphicFramePr>
              <a:graphicFrameLocks noChangeAspect="1"/>
            </wp:cNvGraphicFramePr>
            <a:graphic>
              <a:graphicData uri="http://schemas.openxmlformats.org/drawingml/2006/picture">
                <pic:pic>
                  <pic:nvPicPr>
                    <pic:cNvPr id="0" name="A 57461-2024 karta knärot.png"/>
                    <pic:cNvPicPr/>
                  </pic:nvPicPr>
                  <pic:blipFill>
                    <a:blip r:embed="rId17"/>
                    <a:stretch>
                      <a:fillRect/>
                    </a:stretch>
                  </pic:blipFill>
                  <pic:spPr>
                    <a:xfrm>
                      <a:off x="0" y="0"/>
                      <a:ext cx="5486400" cy="59043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7025836, E 463287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talltagel (NT, T), ullticka (NT, T), bårdlav (S, T), gytterlav (S, T), korallblylav (S, T), luddlav (S, T), skinnlav (S, T), stuplav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