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50389-2023 i Krokoms kommun</w:t>
      </w:r>
    </w:p>
    <w:p>
      <w:r>
        <w:t>Detta dokument behandlar höga naturvärden i avverkningsanmälan A 50389-2023 i Krokoms kommun. Denna avverkningsanmälan inkom 2023-10-10 och omfattar 14,7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6 naturvårdsarter hittats: doftskinn (NT), garnlav (NT), harticka (NT), spillkråka (NT, §4), tretåig hackspett (NT, §4) och trådticka (S). Av dessa är 5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250234"/>
            <wp:docPr id="1" name="Picture 1"/>
            <wp:cNvGraphicFramePr>
              <a:graphicFrameLocks noChangeAspect="1"/>
            </wp:cNvGraphicFramePr>
            <a:graphic>
              <a:graphicData uri="http://schemas.openxmlformats.org/drawingml/2006/picture">
                <pic:pic>
                  <pic:nvPicPr>
                    <pic:cNvPr id="0" name="A 50389-2023 karta.png"/>
                    <pic:cNvPicPr/>
                  </pic:nvPicPr>
                  <pic:blipFill>
                    <a:blip r:embed="rId16"/>
                    <a:stretch>
                      <a:fillRect/>
                    </a:stretch>
                  </pic:blipFill>
                  <pic:spPr>
                    <a:xfrm>
                      <a:off x="0" y="0"/>
                      <a:ext cx="5486400" cy="425023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7045380, E 453571 i SWEREF 99 TM.</w:t>
      </w:r>
    </w:p>
    <w:p>
      <w:r>
        <w:rPr>
          <w:b/>
        </w:rPr>
        <w:t>Doftskinn (NT)</w:t>
      </w:r>
      <w:r>
        <w:t>, rödlistad som nära hotad, är en mycket bra signalart för boreal granskog och indikerar ett gran-skogsekosystem med lång kontinuitet av grova lågor. Arten är placerad i toppen av Skogsstyrelsens värdepyramid för bedömning av skog med höga naturvärden och har klassats som en “urskogsindikator”, då den förekommer med ett tydligt optimum i helt eller nästan helt orörda skogar (Nitare &amp; Skogsstyrelsen, 2019).</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Harticka (NT)</w:t>
      </w:r>
      <w:r>
        <w:t xml:space="preserve"> är normalt en mycket bra signalart för granskogar med höga naturvärden. Även när svampen påträffas i mer påverkade skogar är det nästan alltid fråga om skogsmiljöer i sena successionsstadier med höga naturvärden. Skogsskötselåtgärder på eller i omedelbar närhet av växtplatserna kan innebära ett hot mot arten (SLU Artdatabanken, 2024; Nitare &amp; Skogsstyrelsen, 2019).</w:t>
      </w:r>
    </w:p>
    <w:p>
      <w:pPr>
        <w:pStyle w:val="Heading1"/>
      </w:pPr>
      <w:r>
        <w:t>Fridlysta arter</w:t>
      </w:r>
    </w:p>
    <w:p>
      <w:r>
        <w:t>Följande fridlysta arter har sina livsmiljöer och växtplatser i den avverkningsanmälda skogen: spillkråka (NT, §4) och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(Skogsstyrelsen, 2016).</w:t>
      </w:r>
    </w:p>
    <w:p>
      <w:r>
        <w:t>I BILAGA 1 finns mer detaljerad information om ekologi samt krav på livsmiljö hos fridlysta arter.</w:t>
      </w:r>
    </w:p>
    <w:p>
      <w:r>
        <w:br w:type="page"/>
      </w:r>
    </w:p>
    <w:p>
      <w:pPr>
        <w:pStyle w:val="Title"/>
      </w:pPr>
      <w:r>
        <w:t>BILAGA 1 – Fridlysta arter</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2025-05-19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