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36309-2024 i Krokoms kommun</w:t>
      </w:r>
    </w:p>
    <w:p>
      <w:r>
        <w:t>Detta klagomål behandlar höga naturvärden i avverkningsanmälan A 36309-2024 i Krokoms kommun som inkom 2024-08-30 och omfattar 10,5 ha.</w:t>
      </w:r>
    </w:p>
    <w:p>
      <w:pPr>
        <w:pStyle w:val="Caption"/>
      </w:pPr>
      <w:r>
        <w:drawing>
          <wp:inline xmlns:a="http://schemas.openxmlformats.org/drawingml/2006/main" xmlns:pic="http://schemas.openxmlformats.org/drawingml/2006/picture">
            <wp:extent cx="5486400" cy="4790702"/>
            <wp:docPr id="1" name="Picture 1"/>
            <wp:cNvGraphicFramePr>
              <a:graphicFrameLocks noChangeAspect="1"/>
            </wp:cNvGraphicFramePr>
            <a:graphic>
              <a:graphicData uri="http://schemas.openxmlformats.org/drawingml/2006/picture">
                <pic:pic>
                  <pic:nvPicPr>
                    <pic:cNvPr id="0" name="A 36309-2024 karta.png"/>
                    <pic:cNvPicPr/>
                  </pic:nvPicPr>
                  <pic:blipFill>
                    <a:blip r:embed="rId16"/>
                    <a:stretch>
                      <a:fillRect/>
                    </a:stretch>
                  </pic:blipFill>
                  <pic:spPr>
                    <a:xfrm>
                      <a:off x="0" y="0"/>
                      <a:ext cx="5486400" cy="479070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7069114, E 477678 i SWEREF 99 TM.</w:t>
      </w:r>
    </w:p>
    <w:p>
      <w:r>
        <w:t>I avverkningsanmälan finns fynd av 13 naturvårdsarter, varav 11 är rödlistade, 3 är fridlysta, 11 är typiska (T) och 2 är signalarter (S): garnlav (VU, T), knärot (VU, T, §8), sprickporing (VU), doftskinn (NT, T), harticka (NT, T), koralltaggsvamp (NT, T), lavskrika (NT, T, §4), lunglav (NT, T), skrovellav (NT, T), tretåig hackspett (NT, T, §4), ullticka (NT, T), diskvaxskivling (S) och korallblylav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9 fyndplatser för knärot registrerade på Artportalen. Figur 2 visar gränserna för buffertzoner på 50 m, som behöver lämnas kring fyndplatserna för att knärotslokalerna inte ska försvinna vid en avverkning. Av det avverkningsanmälda området överlappar 4.23 ha med buffertzonerna och får av detta skäl inte avverkas.</w:t>
      </w:r>
    </w:p>
    <w:p>
      <w:pPr>
        <w:pStyle w:val="Caption"/>
      </w:pPr>
      <w:r>
        <w:drawing>
          <wp:inline xmlns:a="http://schemas.openxmlformats.org/drawingml/2006/main" xmlns:pic="http://schemas.openxmlformats.org/drawingml/2006/picture">
            <wp:extent cx="5486400" cy="4543720"/>
            <wp:docPr id="2" name="Picture 2"/>
            <wp:cNvGraphicFramePr>
              <a:graphicFrameLocks noChangeAspect="1"/>
            </wp:cNvGraphicFramePr>
            <a:graphic>
              <a:graphicData uri="http://schemas.openxmlformats.org/drawingml/2006/picture">
                <pic:pic>
                  <pic:nvPicPr>
                    <pic:cNvPr id="0" name="A 36309-2024 karta knärot.png"/>
                    <pic:cNvPicPr/>
                  </pic:nvPicPr>
                  <pic:blipFill>
                    <a:blip r:embed="rId17"/>
                    <a:stretch>
                      <a:fillRect/>
                    </a:stretch>
                  </pic:blipFill>
                  <pic:spPr>
                    <a:xfrm>
                      <a:off x="0" y="0"/>
                      <a:ext cx="5486400" cy="454372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7069114, E 477678 i SWEREF 99 TM.</w:t>
      </w:r>
    </w:p>
    <w:p>
      <w:r>
        <w:rPr>
          <w:b/>
        </w:rPr>
        <w:t>Sprickporing (VU)</w:t>
      </w:r>
      <w:r>
        <w:t>, rödlistad som sårbar, är en sällsynt art som växer på senvuxen gran i lågproduktiva miljöer, ett substrat som nybildas i mycket liten skala i modern produktionsskog. Arten bedöms ha minskat kraftigt, med mer än 30 % över de senaste 20 åren, huvudsakligen på grund av slutavverkningar. I bestånd där arten förekommer måste skogsbruk undvikas. Fler av artens lokaler bör skyddas (SLU Artdatabanken, 2024).</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Koralltaggsvamp (NT)</w:t>
      </w:r>
      <w:r>
        <w:t xml:space="preserve"> är i hela landet en mycket bra signalart som nästan enbart påträffas i skogsområden med höga naturvärden. Arten hotas av brist på död ved. Ingrepp som innebär att lågor och döda eller skadade träd tas bort missgynnar arten. En slutavverkning, skoglig gallring eller annat uttag av virke på växtplatsen som ger ett förändrat lokalklimat innebär ett direkt hot liksom överföring av lövskog till barrskog. Koralltaggsvamp är typisk art för </w:t>
      </w:r>
      <w:r>
        <w:rPr>
          <w:i/>
        </w:rPr>
        <w:t>9010 Taiga, 9050 Näringsrik granskog</w:t>
      </w:r>
      <w:r>
        <w:t xml:space="preserve"> och</w:t>
      </w:r>
      <w:r>
        <w:rPr>
          <w:i/>
        </w:rPr>
        <w:t xml:space="preserve"> 9030 Landhöjningsskog</w:t>
      </w:r>
      <w:r>
        <w:t xml:space="preserve"> (SLU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13 naturvårdsarter varav 11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