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40068-2025 i Krokoms kommun</w:t>
      </w:r>
    </w:p>
    <w:p>
      <w:r>
        <w:t>Detta klagomål behandlar höga naturvärden i avverkningsanmälan A 40068-2025 i Krokoms kommun som inkom 2025-08-25 och omfattar 22,8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40068-2025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7051176, E 426274 i SWEREF 99 TM.</w:t>
      </w:r>
    </w:p>
    <w:p>
      <w:r>
        <w:t>I och inom 18 meter från avverkningsanmälan finns fynd av 22 naturvårdsarter, varav 20 är rödlistade, 3 är fridlysta, 15 är typiska (T) och 1 är signalart (S): garnlav (VU, T), gränsticka (VU, T), skuggnål (VU), smalskaftslav (VU), brunpudrad nållav (NT, T), doftskinn (NT, T), gammelgransskål (NT, T), harticka (NT, T), kötticka (NT), liten svartspik (NT), lunglav (NT, T), puderspindling (NT), rosenticka (NT, T), rynkskinn (NT, T), skarp dropptaggsvamp (NT), skrovellav (NT, T), stjärntagging (NT, T), talltita (NT, §4), tretåig hackspett (NT, T, §4), ullticka (NT, T), trådticka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