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67089-2021 i Krokoms kommun</w:t>
      </w:r>
    </w:p>
    <w:p>
      <w:r>
        <w:t>Detta klagomål behandlar höga naturvärden i avverkningsanmälan A 67089-2021 i Krokoms kommun som inkom 2021-11-22 och omfattar 15,4 ha.</w:t>
      </w:r>
    </w:p>
    <w:p>
      <w:pPr>
        <w:pStyle w:val="Caption"/>
      </w:pPr>
      <w:r>
        <w:drawing>
          <wp:inline xmlns:a="http://schemas.openxmlformats.org/drawingml/2006/main" xmlns:pic="http://schemas.openxmlformats.org/drawingml/2006/picture">
            <wp:extent cx="5486400" cy="3760995"/>
            <wp:docPr id="1" name="Picture 1"/>
            <wp:cNvGraphicFramePr>
              <a:graphicFrameLocks noChangeAspect="1"/>
            </wp:cNvGraphicFramePr>
            <a:graphic>
              <a:graphicData uri="http://schemas.openxmlformats.org/drawingml/2006/picture">
                <pic:pic>
                  <pic:nvPicPr>
                    <pic:cNvPr id="0" name="A 67089-2021 karta.png"/>
                    <pic:cNvPicPr/>
                  </pic:nvPicPr>
                  <pic:blipFill>
                    <a:blip r:embed="rId16"/>
                    <a:stretch>
                      <a:fillRect/>
                    </a:stretch>
                  </pic:blipFill>
                  <pic:spPr>
                    <a:xfrm>
                      <a:off x="0" y="0"/>
                      <a:ext cx="5486400" cy="37609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7032666, E 446882 i SWEREF 99 TM.</w:t>
      </w:r>
    </w:p>
    <w:p>
      <w:r>
        <w:t>I och inom 25 meter från avverkningsanmälan finns fynd av 53 naturvårdsarter, varav 34 är rödlistade, 9 är fridlysta, 30 är typiska (T) och 16 är signalarter (S): skarptandad daggkåpa (EN), fjällfotad musseron (VU), garnlav (VU, T), gränsticka (VU, T), kejsarskivling (VU), knärot (VU, T, §8), läderdoftande fingersvamp (VU), norsk näverlav (VU), taggfingersvamp (VU), doftskinn (NT, T), dofttaggsvamp (NT, T), flattoppad klubbsvamp (NT), gammelgransskål (NT, T), grantaggsvamp (NT), gultoppig fingersvamp (NT), harticka (NT, T), kavernularia (NT), liten svartspik (NT), luddfingersvamp (NT), lunglav (NT, T), nordlig nållav (NT), orange taggsvamp (NT, T), persiljespindling (NT), rosenticka (NT, T), rynkskinn (NT, T), rödbrun klubbdyna (NT), skogsfru (NT, §8), skrovellav (NT, T), småflikig brosklav (NT, T), talltita (NT, §4), tretåig hackspett (NT, T, §4), ullticka (NT, T), vitgrynig nållav (NT), äggvaxskivling (NT), bårdlav (S, T), granriska (S), gytterlav (S, T), kambräken (S, T), korallblylav (S, T), luddlav (S, T), mörk husmossa (S, T), norrlandslav (S, T), skinnlav (S, T), spindelblomster (S, T, §8), strimspindling (S), tibast (S, T), trådfräken (S), tvåblad (S, §8), vedticka (S, T), ögonpyrola (S, T), blåsippa (T, §9),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128762"/>
            <wp:docPr id="2" name="Picture 2"/>
            <wp:cNvGraphicFramePr>
              <a:graphicFrameLocks noChangeAspect="1"/>
            </wp:cNvGraphicFramePr>
            <a:graphic>
              <a:graphicData uri="http://schemas.openxmlformats.org/drawingml/2006/picture">
                <pic:pic>
                  <pic:nvPicPr>
                    <pic:cNvPr id="0" name="A 67089-2021 karta knärot.png"/>
                    <pic:cNvPicPr/>
                  </pic:nvPicPr>
                  <pic:blipFill>
                    <a:blip r:embed="rId17"/>
                    <a:stretch>
                      <a:fillRect/>
                    </a:stretch>
                  </pic:blipFill>
                  <pic:spPr>
                    <a:xfrm>
                      <a:off x="0" y="0"/>
                      <a:ext cx="5486400" cy="6128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7032666, E 446882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53 naturvårdsarter varav 34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