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12489-2025 i Krokoms kommun</w:t>
      </w:r>
    </w:p>
    <w:p>
      <w:r>
        <w:t>Detta dokument behandlar höga naturvärden i avverkningsanmälan A 12489-2025 i Krokoms kommun. Denna avverkningsanmälan inkom 2025-03-14 och omfattar 13,4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45 naturvårdsarter hittats: knärot (VU, §8), rynkskinn (VU), ulltickeporing (VU), dvärgbägarlav (NT), garnlav (NT), granticka (NT), gränsticka (NT), halmgul örnlav (NT), järpe (NT, §4), kavernularia (NT), kolflarnlav (NT), liten svartspik (NT), lunglav (NT), mörk kolflarnlav (NT), rosenticka (NT), rödbrun blekspik (NT), skrovellav (NT), solfjäderlav (NT), spillkråka (NT, §4), talltita (NT, §4), tretåig hackspett (NT, §4), ullticka (NT), vedskivlav (NT), vitgrynig nållav (NT), vitskaftad svartspik (NT), barkkornlav (S), bårdlav (S), dvärgtufs (S), gulnål (S), gytterlav (S), kambräken (S), korallblylav (S), luddlav (S), mörk husmossa (S), norrlandslav (S), plattlummer (S, §9), rostfläck (S), skinnlav (S), stuplav (S), svavelriska (S), vedticka (S), ögonpyrola (S), kungsfågel (§4), pärluggla (§4) och blåsippa (§9). Av dessa är 25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1805"/>
            <wp:docPr id="1" name="Picture 1"/>
            <wp:cNvGraphicFramePr>
              <a:graphicFrameLocks noChangeAspect="1"/>
            </wp:cNvGraphicFramePr>
            <a:graphic>
              <a:graphicData uri="http://schemas.openxmlformats.org/drawingml/2006/picture">
                <pic:pic>
                  <pic:nvPicPr>
                    <pic:cNvPr id="0" name="A 12489-2025 karta.png"/>
                    <pic:cNvPicPr/>
                  </pic:nvPicPr>
                  <pic:blipFill>
                    <a:blip r:embed="rId16"/>
                    <a:stretch>
                      <a:fillRect/>
                    </a:stretch>
                  </pic:blipFill>
                  <pic:spPr>
                    <a:xfrm>
                      <a:off x="0" y="0"/>
                      <a:ext cx="5486400" cy="47918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7050812, E 461064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Kavernularia (NT)</w:t>
      </w:r>
      <w:r>
        <w:t xml:space="preserve"> är en rikligt förgrenad bladlav, som på den svarta undersidan har rikligt med karaktäristiska små håligheter, s. k. cavernulae. Den växer på de nedre tunna grenarna av gran i halvöppna gamla granskogar i områden av Jämtland och Åsele Lappmark med ett suboceaniskt klimat. Avverkning av kontinuitetsskogar med hög och jämn luftfuktighet är ett hot. Flera områden med kavernularia måste skyddas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signalerar alltid höga naturvärden (SLU Artdatabanken, 2024; Nitare &amp; Skogsstyrelsen, 2019).</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Vitskaftad svartspik (NT)</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(SLU Artdatabanken, 2024; Nitare &amp; Skogsstyrelsen, 2019).</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Fridlysta arter</w:t>
      </w:r>
    </w:p>
    <w:p>
      <w:r>
        <w:t>Följande fridlysta arter har sina livsmiljöer och växtplatser i den avverkningsanmälda skogen: knärot (VU, §8), järpe (NT, §4), spillkråka (NT, §4), talltita (NT, §4), tretåig hackspett (NT, §4), plattlummer (S, §9), kungsfågel (§4), pärluggla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7822702"/>
            <wp:docPr id="2" name="Picture 2"/>
            <wp:cNvGraphicFramePr>
              <a:graphicFrameLocks noChangeAspect="1"/>
            </wp:cNvGraphicFramePr>
            <a:graphic>
              <a:graphicData uri="http://schemas.openxmlformats.org/drawingml/2006/picture">
                <pic:pic>
                  <pic:nvPicPr>
                    <pic:cNvPr id="0" name="A 12489-2025 karta knärot.png"/>
                    <pic:cNvPicPr/>
                  </pic:nvPicPr>
                  <pic:blipFill>
                    <a:blip r:embed="rId17"/>
                    <a:stretch>
                      <a:fillRect/>
                    </a:stretch>
                  </pic:blipFill>
                  <pic:spPr>
                    <a:xfrm>
                      <a:off x="0" y="0"/>
                      <a:ext cx="5486400" cy="782270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7050812, E 461064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42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45 naturvårdsarter varav 25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