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9977-2025 i Krokoms kommun</w:t>
      </w:r>
    </w:p>
    <w:p>
      <w:r>
        <w:t>Detta dokument behandlar höga naturvärden i avverkningsanmälan A 9977-2025 i Krokoms kommun. Denna avverkningsanmälan inkom 2025-02-28 00:00:00 och omfattar 31,3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50 naturvårdsarter hittats: knärot (VU, §8), norsk näverlav (VU), smalskaftslav (VU), sprickporing (VU), blågrå svartspik (NT), brunpudrad nållav (NT), doftskinn (NT), dvärgbägarlav (NT), gammelgransskål (NT), garnlav (NT), granticka (NT), halmgul örnlav (NT), järpe (NT, §4), kavernularia (NT), knottrig blåslav (NT), kolflarnlav (NT), kortskaftad ärgspik (NT), liten svartspik (NT), lunglav (NT), mjölig dropplav (NT), mörk kolflarnlav (NT), nordlig nållav (NT), rosa skärelav (NT), skogshare (NT), skrovellav (NT), småflikig brosklav (NT), spillkråka (NT, §4), talltita (NT, §4), tretåig hackspett (NT, §4), ullticka (NT), vedflamlav (NT), vedskivlav (NT), vedtrappmossa (NT), vitgrynig nållav (NT), vitskaftad svartspik (NT), barkkornlav (S), bårdlav (S), gulnål (S), gytterlav (S), korallblylav (S), kornig nållav (S), luddlav (S), norrlandslav (S), rostfläck (S), skinnlav (S), svavelriska (S), trådfräken (S), vedticka (S), tjäder (§4) och revlummer (§9). Av dessa är 35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1973"/>
            <wp:docPr id="1" name="Picture 1"/>
            <wp:cNvGraphicFramePr>
              <a:graphicFrameLocks noChangeAspect="1"/>
            </wp:cNvGraphicFramePr>
            <a:graphic>
              <a:graphicData uri="http://schemas.openxmlformats.org/drawingml/2006/picture">
                <pic:pic>
                  <pic:nvPicPr>
                    <pic:cNvPr id="0" name="A 9977-2025 karta.png"/>
                    <pic:cNvPicPr/>
                  </pic:nvPicPr>
                  <pic:blipFill>
                    <a:blip r:embed="rId16"/>
                    <a:stretch>
                      <a:fillRect/>
                    </a:stretch>
                  </pic:blipFill>
                  <pic:spPr>
                    <a:xfrm>
                      <a:off x="0" y="0"/>
                      <a:ext cx="5486400" cy="3821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7031447, E 459164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Halmgul örnlav (NT)</w:t>
      </w:r>
      <w:r>
        <w:t xml:space="preserve"> växer på bark och ved av gran och tall, oftast på riktigt gamla träd i gles boreal kontinuitetsskog eller myrkanter. Avverkning av boreal kontinuitetsskog är ett hot och skogsbruksåtgärder på eller i närheten av växtplatserna bör undvikas. Naturskogsartade skogar med förekomst av arten indikerar höga biologiska värden och bör bevaras. Särskilt angeläget är detta i naturskogsartade barrskogar. Minskningstakten för den svenska populationen bedöms vara nära gränsvärdet för Sårbar (VU) (SLU Artdatabanken, 2024).</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Mjölig dropplav (NT)</w:t>
      </w:r>
      <w:r>
        <w:t xml:space="preserve"> växer på gamla granar i boreala granskogar med lång trädkontinuitet och hög luftfuktighet. Avverkning liksom även kraftig utglesning av skog på eller i omedelbar närhet av lokalerna utgör ett hot. Bördiga sumpgranskogar med hög och jämn luftfuktighet bör inte avverkas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 xml:space="preserve">Småflikig brosklav (NT) </w:t>
      </w:r>
      <w:r>
        <w:t>signalerar i hela sitt utbredningsområde skogsbestånd med höga naturvärden. Den indikerar hög luftfuktighet och långvarig förekomst av asp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knärot (VU, §8), järpe (NT, §4), spillkråka (NT, §4), talltita (NT, §4), tretåig hackspett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1.57 ha med buffertzonerna och får av detta skäl inte avverkas.</w:t>
      </w:r>
    </w:p>
    <w:p>
      <w:pPr>
        <w:pStyle w:val="Caption"/>
      </w:pPr>
      <w:r>
        <w:drawing>
          <wp:inline xmlns:a="http://schemas.openxmlformats.org/drawingml/2006/main" xmlns:pic="http://schemas.openxmlformats.org/drawingml/2006/picture">
            <wp:extent cx="5486400" cy="5515693"/>
            <wp:docPr id="2" name="Picture 2"/>
            <wp:cNvGraphicFramePr>
              <a:graphicFrameLocks noChangeAspect="1"/>
            </wp:cNvGraphicFramePr>
            <a:graphic>
              <a:graphicData uri="http://schemas.openxmlformats.org/drawingml/2006/picture">
                <pic:pic>
                  <pic:nvPicPr>
                    <pic:cNvPr id="0" name="A 9977-2025 karta knärot.png"/>
                    <pic:cNvPicPr/>
                  </pic:nvPicPr>
                  <pic:blipFill>
                    <a:blip r:embed="rId17"/>
                    <a:stretch>
                      <a:fillRect/>
                    </a:stretch>
                  </pic:blipFill>
                  <pic:spPr>
                    <a:xfrm>
                      <a:off x="0" y="0"/>
                      <a:ext cx="5486400" cy="55156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7031447, E 459164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