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33875-2021 i Krokoms kommun</w:t>
      </w:r>
    </w:p>
    <w:p>
      <w:r>
        <w:t>Detta dokument behandlar höga naturvärden i avverkningsanmälan A 33875-2021 i Krokoms kommun. Denna avverkningsanmälan inkom 2021-07-01 00:00:00 och omfattar 31,9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26 naturvårdsarter hittats: liten sotlav (VU), mörk rödprick (VU), norsk näverlav (VU), smalskaftslav (VU), gammelgransskål (NT), garnlav (NT), granticka (NT), gränsticka (NT), harticka (NT), lunglav (NT), rosenticka (NT), skrovellav (NT), ullticka (NT), vitgrynig nållav (NT), vitskaftad svartspik (NT), gulnål (S), gytterlav (S), luddlav (S), mörk husmossa (S), rostfläck (S), skogshakmossa (S), spindelblomster (S, §8), stuplav (S), svavelriska (S), trådticka (S) och vedticka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7763"/>
            <wp:docPr id="1" name="Picture 1"/>
            <wp:cNvGraphicFramePr>
              <a:graphicFrameLocks noChangeAspect="1"/>
            </wp:cNvGraphicFramePr>
            <a:graphic>
              <a:graphicData uri="http://schemas.openxmlformats.org/drawingml/2006/picture">
                <pic:pic>
                  <pic:nvPicPr>
                    <pic:cNvPr id="0" name="A 33875-2021 karta.png"/>
                    <pic:cNvPicPr/>
                  </pic:nvPicPr>
                  <pic:blipFill>
                    <a:blip r:embed="rId16"/>
                    <a:stretch>
                      <a:fillRect/>
                    </a:stretch>
                  </pic:blipFill>
                  <pic:spPr>
                    <a:xfrm>
                      <a:off x="0" y="0"/>
                      <a:ext cx="5486400" cy="3107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7085427, E 456354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Mörk rödprick (VU)</w:t>
      </w:r>
      <w:r>
        <w:t xml:space="preserve"> är en fläcklav som påträffats på gran, sälg och björk i boreala grandominerade kontinuitetsskogar med hög och jämn luftfuktighet. Arten hotas främst av att arealen gammal boreal granskog med grova sälgar och hög luftfuktighet minskat. Barrskog äldre än 160 år har minskat med 50% de senaste 50 åren. Artens population bedöms ha minskat med minst 30% under samma tidsperiod (3 generation för arten) och bedömningen är att populationen kommer att fortsätta minska med ytterligare åtminstone 30% de kommande 50 åren. Några lokaler är naturreservat men ytterligare lokaler måste skyddas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