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59956-2025 i Krokoms kommun</w:t>
      </w:r>
    </w:p>
    <w:p>
      <w:r>
        <w:t>Detta dokument behandlar höga naturvärden i avverkningsanmälan A 59956-2025 i Krokoms kommun. Denna avverkningsanmälan inkom 2025-12-02 11:06:17 och omfattar 7,6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30 naturvårdsarter hittats: trådbrosklav (EN), gropig skägglav (VU), sprickporing (VU), trubbig brosklav (VU), garnlav (NT), granticka (NT), gultoppig fingersvamp (NT), harticka (NT), liten svartspik (NT), lunglav (NT), småflikig brosklav (NT), tallticka (NT), talltita (NT, §4), tretåig hackspett (NT, §4), ullticka (NT), veckticka (NT), vitgrynig nållav (NT), barkkornlav (S), blodticka (S), finbräken (S), gytterlav (S), korallblylav (S), läderskål (S), mörk husmossa (S), rostfläck (S), skarp dropptaggsvamp (S), skinnlav (S), stuplav (S), svavelriska (S) och trådfräken (S).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4945"/>
            <wp:docPr id="1" name="Picture 1"/>
            <wp:cNvGraphicFramePr>
              <a:graphicFrameLocks noChangeAspect="1"/>
            </wp:cNvGraphicFramePr>
            <a:graphic>
              <a:graphicData uri="http://schemas.openxmlformats.org/drawingml/2006/picture">
                <pic:pic>
                  <pic:nvPicPr>
                    <pic:cNvPr id="0" name="A 59956-2025 karta.png"/>
                    <pic:cNvPicPr/>
                  </pic:nvPicPr>
                  <pic:blipFill>
                    <a:blip r:embed="rId16"/>
                    <a:stretch>
                      <a:fillRect/>
                    </a:stretch>
                  </pic:blipFill>
                  <pic:spPr>
                    <a:xfrm>
                      <a:off x="0" y="0"/>
                      <a:ext cx="5486400" cy="40549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7029839, E 444570 i SWEREF 99 TM.</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Gropig skägglav (VU)</w:t>
      </w:r>
      <w:r>
        <w:t xml:space="preserve"> växer på träd i flera olika miljöer, både kulturmark som alléer och i gammal skog. Är sannolikt känslig för luftföroreningar liksom slutavverkning av gammal skog men orsaken till tillbakagången är delvis oklar. Minskningstakten har uppgått till 30 (20–40) % under de senaste 50 åren och överstiger gränsvärdet för sårbar (VU). Arten påverkas negativt av brist på kontinuitetsskog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Trubbig brosklav (VU)</w:t>
      </w:r>
      <w:r>
        <w:t xml:space="preserve"> är funnen från Öland upp till Lule Lappmark men aktuell status är något oklar. I södra och mellersta Sverige är arten uppenbarligen gynnad av dammimpregnering där den växer på gamla lövträd, främst i parker, kyrkogårdar, betesmarker och vid vägkanter. På Gotland växer den huvudsakligen på tunna grangrenar i barrskogar dominerade av gran. I norra Sverige är ekologin sämre känd men den förekommer på träd intill vattenfall. Arten hotas i södra och mellersta Sverige av avverkning av värdträd. Upphörande dammimpregnering vid asfaltering av grusvägar intill lokalerna är också ett hot. Lokalerna i norra Sverige bör lämnas för fri utveckling (SLU Artdatabanken, 2026).</w:t>
      </w:r>
    </w:p>
    <w:p>
      <w:r>
        <w:rPr>
          <w:b/>
        </w:rPr>
        <w:t>Trådbrosklav (EN)</w:t>
      </w:r>
      <w: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(40–70) % inom 50 år. Den är placerad högst upp i Skogsstyrelsens värdepyramid för bedömning av skog med höga naturvärden och skog där trådbrosklav förekommer bör helt undantas från skogsbruksåtgärder. Det är väsentligt att tillräckligt stora bestånd och breda kantzoner avsätts eftersom arten är känslig för uttorkning. Samtliga rika förekomster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30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