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394-2025 i Krokoms kommun</w:t>
      </w:r>
    </w:p>
    <w:p>
      <w:r>
        <w:t>Detta dokument behandlar höga naturvärden i avverkningsanmälan A 394-2025 i Krokoms kommun. Denna avverkningsanmälan inkom 2025-01-06 00:00:00 och omfattar 15,1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15 naturvårdsarter hittats: gräddticka (VU), sprickporing (VU), doftskinn (NT), gammelgransskål (NT), garnlav (NT), granticka (NT), lunglav (NT), mörk kolflarnlav (NT), talltita (NT, §4), tretåig hackspett (NT, §4), ullticka (NT), vitgrynig nållav (NT), vitskaftad svartspik (NT), lavskrika (§4) och tjäder (§4). Av dessa är 13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73919"/>
            <wp:docPr id="1" name="Picture 1"/>
            <wp:cNvGraphicFramePr>
              <a:graphicFrameLocks noChangeAspect="1"/>
            </wp:cNvGraphicFramePr>
            <a:graphic>
              <a:graphicData uri="http://schemas.openxmlformats.org/drawingml/2006/picture">
                <pic:pic>
                  <pic:nvPicPr>
                    <pic:cNvPr id="0" name="A 394-2025 karta.png"/>
                    <pic:cNvPicPr/>
                  </pic:nvPicPr>
                  <pic:blipFill>
                    <a:blip r:embed="rId16"/>
                    <a:stretch>
                      <a:fillRect/>
                    </a:stretch>
                  </pic:blipFill>
                  <pic:spPr>
                    <a:xfrm>
                      <a:off x="0" y="0"/>
                      <a:ext cx="5486400" cy="53739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7056641, E 480150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Gräddticka (VU)</w:t>
      </w:r>
      <w:r>
        <w:t xml:space="preserve"> har klassificerats som en ”gammelskogsindikator” och signalerar granskogar med höga naturvärden. Den kräver miljöer med hög och jämn fuktighet och växtplatserna ligger oftast på näringsrik, fuktig eller blöt mark där lågan och den murkna veden hålls konstant fuktig. Slutavverkning av gammelgranskog är ett direkt hot mot artens existens i landet och artens växtplatser måste undantas från skogsbruk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Sprickporing (VU)</w:t>
      </w:r>
      <w:r>
        <w:t>, rödlistad som sårbar, är en sällsynt art som växer på senvuxen gran i lågproduktiva miljöer, ett substrat som nybildas i mycket liten skala i modern produktionsskog. Arten bedöms ha minskat kraftigt, med mer än 30 % över de senaste 20 åren, huvudsakligen på grund av slutavverkningar. I bestånd där arten förekommer måste skogsbruk undvikas. Fler av artens lokaler bör skyddas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Vitskaftad svartspik (NT)</w:t>
      </w:r>
      <w:r>
        <w:t xml:space="preserve"> förekommer främst i naturskog på gamla senvuxna granar och signalerar alltid höga naturvärden. Alla skogliga åtgärder som kan påverka markvatten och luftfuktighet på i närheten av lokaler utgör ett hot. Avverkning av naturskogar utgör ett allvarligt hot och alla skogsskötselåtgärder på eller i närheten av växtplatserna bör undvikas. Lämpligt stora reservat av naturskogstyp bör bevaras (SLU Artdatabanken, 2024; Nitare &amp; Skogsstyrelsen, 2019).</w:t>
      </w:r>
    </w:p>
    <w:p>
      <w:pPr>
        <w:pStyle w:val="Heading1"/>
      </w:pPr>
      <w:r>
        <w:t>Fridlysta arter</w:t>
      </w:r>
    </w:p>
    <w:p>
      <w:r>
        <w:t>Följande fridlysta arter har sina livsmiljöer och växtplatser i den avverkningsanmälda skogen: talltita (NT, §4), tretåig hackspett (NT, §4), lavskrika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15 naturvårdsarter varav 13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