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57211-2025 i Krokoms kommun</w:t>
      </w:r>
    </w:p>
    <w:p>
      <w:r>
        <w:t>Detta klagomål behandlar höga naturvärden i avverkningsanmälan A 57211-2025 i Krokoms kommun som inkom 2025-11-18 och omfattar 31,0 ha.</w:t>
      </w:r>
    </w:p>
    <w:p>
      <w:pPr>
        <w:pStyle w:val="Caption"/>
      </w:pPr>
      <w:r>
        <w:drawing>
          <wp:inline xmlns:a="http://schemas.openxmlformats.org/drawingml/2006/main" xmlns:pic="http://schemas.openxmlformats.org/drawingml/2006/picture">
            <wp:extent cx="5301349" cy="5724000"/>
            <wp:docPr id="1" name="Picture 1"/>
            <wp:cNvGraphicFramePr>
              <a:graphicFrameLocks noChangeAspect="1"/>
            </wp:cNvGraphicFramePr>
            <a:graphic>
              <a:graphicData uri="http://schemas.openxmlformats.org/drawingml/2006/picture">
                <pic:pic>
                  <pic:nvPicPr>
                    <pic:cNvPr id="0" name="A 57211-2025 karta.png"/>
                    <pic:cNvPicPr/>
                  </pic:nvPicPr>
                  <pic:blipFill>
                    <a:blip r:embed="rId16"/>
                    <a:stretch>
                      <a:fillRect/>
                    </a:stretch>
                  </pic:blipFill>
                  <pic:spPr>
                    <a:xfrm>
                      <a:off x="0" y="0"/>
                      <a:ext cx="530134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7055037, E 467873 i SWEREF 99 TM.</w:t>
      </w:r>
    </w:p>
    <w:p>
      <w:r>
        <w:t>I avverkningsanmälan finns fynd av 14 naturvårdsarter, varav 7 är rödlistade, 2 är fridlysta, 12 är typiska (T) och 6 är signalarter (S): garnlav (VU, T), gammelgransskål (NT, T), liten svartspik (NT), skrovellav (NT, T), tretåig hackspett (NT, T, §4), ullticka (NT, T), vitgrynig nållav (NT), blodticka (S, T), korallblylav (S, T), luddlav (S, T), stuplav (S, T), trådticka (S, T), vedticka (S, 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