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49139-2025 i Krokoms kommun</w:t>
      </w:r>
    </w:p>
    <w:p>
      <w:r>
        <w:t>Denna tillsynsbegäran behandlar höga naturvärden i avverkningsanmälan A 49139-2025 i Krokoms kommun som inkom 2025-10-08 och omfattar 6,9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7024104, E 474000 i SWEREF 99 TM.</w:t>
      </w:r>
    </w:p>
    <w:p>
      <w:r>
        <w:t>I och inom 8 meter från avverkningsanmälan finns fynd av 14 naturvårdsarter, varav 10 är rödlistade, 5 är fridlysta, 9 är typiska (T) och 2 är signalarter (S): garnlav (VU, T), kolflarnlav (NT, T), mörk kolflarnlav (NT), nötkråka (NT, T, §4), talltagel (NT, T), talltita (NT, §4), tretåig hackspett (NT, T, §4), ullticka (NT, T), vedflikmossa (NT), vedskivlav (NT, T), bronshjon (S, T), ögonpyrola (S, T),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nötkråka (NT, T, §4), talltagel (NT, T), tretåig hackspett (NT, T, §4), ullticka (NT, T), vedskivlav (NT, T), bronshjon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