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438-2022 i Krokoms kommun</w:t>
      </w:r>
    </w:p>
    <w:p>
      <w:r>
        <w:t>Detta dokument behandlar höga naturvärden i avverkningsanmälan A 438-2022 i Krokoms kommun. Denna avverkningsanmälan inkom 2022-01-04 00:00:00 och omfattar 4,5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18 naturvårdsarter hittats: ulltickeporing (VU), brunpudrad nållav (NT), gammelgransskål (NT), garnlav (NT), granticka (NT), järpe (NT, §4), skrovellav (NT), talltita (NT, §4), tretåig hackspett (NT, §4), ullticka (NT), vitgrynig nållav (NT), gytterlav (S), korallblylav (S), spindelblomster (S, §8), stuplav (S), vedticka (S), ögonpyrola (S) och fläcknycklar (§8). Av dessa är 11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66392"/>
            <wp:docPr id="1" name="Picture 1"/>
            <wp:cNvGraphicFramePr>
              <a:graphicFrameLocks noChangeAspect="1"/>
            </wp:cNvGraphicFramePr>
            <a:graphic>
              <a:graphicData uri="http://schemas.openxmlformats.org/drawingml/2006/picture">
                <pic:pic>
                  <pic:nvPicPr>
                    <pic:cNvPr id="0" name="A 438-2022 karta.png"/>
                    <pic:cNvPicPr/>
                  </pic:nvPicPr>
                  <pic:blipFill>
                    <a:blip r:embed="rId16"/>
                    <a:stretch>
                      <a:fillRect/>
                    </a:stretch>
                  </pic:blipFill>
                  <pic:spPr>
                    <a:xfrm>
                      <a:off x="0" y="0"/>
                      <a:ext cx="5486400" cy="55663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7034158, E 447160 i SWEREF 99 TM.</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(SLU Artdatabanken, 2024;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Ulltickeporing </w:t>
      </w:r>
      <w:r>
        <w:rPr>
          <w:b/>
          <w:i/>
        </w:rPr>
        <w:t>Skeletocutis brevispora</w:t>
      </w:r>
      <w:r>
        <w:rPr>
          <w:b/>
        </w:rPr>
        <w:t xml:space="preserve"> (VU)</w:t>
      </w:r>
      <w:r>
        <w:t>,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 xml:space="preserve">Ögonpyrola </w:t>
      </w:r>
      <w:r>
        <w:t>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(Nitare &amp; Skogsstyrelsen, 2019).</w:t>
      </w:r>
    </w:p>
    <w:p>
      <w:pPr>
        <w:pStyle w:val="Heading1"/>
      </w:pPr>
      <w:r>
        <w:t>Fridlysta arter</w:t>
      </w:r>
    </w:p>
    <w:p>
      <w:r>
        <w:t>Följande fridlysta arter har sina livsmiljöer och växtplatser i den avverkningsanmälda skogen: järpe (NT, §4), talltita (NT, §4), tretåig hackspett (NT, §4), spindelblomster (S, §8) och fläcknycklar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Ulltickeporing – ekologi samt krav på livsmiljön</w:t>
      </w:r>
    </w:p>
    <w:p>
      <w:r>
        <w:t xml:space="preserve">Ulltickeporing </w:t>
      </w:r>
      <w:r>
        <w:rPr>
          <w:i/>
        </w:rPr>
        <w:t>Skeletocutis brevispora</w:t>
      </w:r>
      <w:r>
        <w:t xml:space="preserve"> (VU),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r>
        <w:t xml:space="preserve">Ulltickeporingen har nyligen delats upp i tre olika arter: </w:t>
      </w:r>
      <w:r>
        <w:rPr>
          <w:i/>
        </w:rPr>
        <w:t xml:space="preserve">Skeletocutis brevispora </w:t>
      </w:r>
      <w:r>
        <w:t>(ulltickeporing)</w:t>
      </w:r>
      <w:r>
        <w:rPr>
          <w:i/>
        </w:rPr>
        <w:t>, Skeletocutis delicata och Skeletocutis exilis</w:t>
      </w:r>
      <w:r>
        <w:t xml:space="preserve"> (Miettinen &amp; Niemelä, 2018). Skeletocutis delicata och Skeletocutis exilis står för närvarande (2020) som ej bedömda i rödlistan.</w:t>
      </w:r>
    </w:p>
    <w:p>
      <w:pPr>
        <w:pStyle w:val="Heading2"/>
      </w:pPr>
      <w:r>
        <w:t>Referenser – ulltickeporing</w:t>
      </w:r>
    </w:p>
    <w:p>
      <w:r>
        <w:t xml:space="preserve">Miettinen, O. &amp; Niemelä, T., 2018. </w:t>
      </w:r>
      <w:r>
        <w:rPr>
          <w:i/>
        </w:rPr>
        <w:t>Two new temperate polypore species of Skeletocutis (Polyporales, Basidiomycota)</w:t>
      </w:r>
      <w:r>
        <w:t>. Ann. Bot. Fennici 55: 195–206.</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