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33 naturvårdsarter, varav 16 är rödlistade, 11 är fridlysta, 26 är typiska (T) och 9 är signalarter (S): doftticka (VU, T, §8), garnlav (VU, T), granrotspindling (VU), knärot (VU, T, §8), ulltickeporing (VU), gammelgransskål (NT, T), harticka (NT, T), lunglav (NT, T), rosenticka (NT, T), skrovellav (NT, T), talltita (NT, §4), tretåig hackspett (NT, T, §4), ullticka (NT, T), vedskivlav (NT, T), vedtrappmossa (NT, T), äggvaxskivling (NT), bårdlav (S, T), korallrot (S, T, §8), luddlav (S, T), spindelblomster (S, T, §8), stuplav (S, T), trådticka (S, T), tvåblad (S, §8), vedticka (S, T), ögonpyrola (S, T), hultbräken (T), järpe (T, §4), kransmossa (T), liljekonvalj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