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33 naturvårdsarter, varav 16 är rödlistade, 11 är fridlysta, 26 är typiska (T) och 9 är signalarter (S): doftticka (VU, T, §8), garnlav (VU, T), granrotspindling (VU), knärot (VU, T, §8), ulltickeporing (VU), gammelgransskål (NT, T), harticka (NT, T), lunglav (NT, T), rosenticka (NT, T), skrovellav (NT, T), talltita (NT, §4), tretåig hackspett (NT, T, §4), ullticka (NT, T), vedskivlav (NT, T), vedtrappmossa (NT, T), äggvaxskivling (NT), bårdlav (S, T), korallrot (S, T, §8), luddlav (S, T), spindelblomster (S, T, §8), stuplav (S, T), trådticka (S, T), tvåblad (S, §8), vedticka (S, T), ögonpyrola (S, T), hultbräken (T), järpe (T, §4), kransmossa (T), liljekonvalj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harticka (NT, T), lunglav (NT, T), rosenticka (NT, T), skrovellav (NT, T), tretåig hackspett (NT, T, §4), ullticka (NT, T), vedskivlav (NT, T), vedtrappmossa (NT, T), bårdlav (S, T), korallrot (S, T, §8), luddlav (S, T), spindelblomster (S, T, §8), stuplav (S, T), trådticka (S, T), vedticka (S, T), ögonpyrola (S, T), hultbräken (T), järpe (T, §4), kransmossa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