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28 naturvårdsarter, varav 13 är rödlistade, 9 är fridlysta, 22 är typiska (T) och 8 är signalarter (S): garnlav (VU, T), knärot (VU, T, §8), ulltickeporing (VU), gammelgransskål (NT, T), harticka (NT, T), lunglav (NT, T), rosenticka (NT, T), talltita (NT, §4), tretåig hackspett (NT, T, §4), ullticka (NT, T), vedskivlav (NT, T), vedtrappmossa (NT, T), äggvaxskivling (NT), bårdlav (S, T), korallrot (S, T, §8), luddlav (S, T), spindelblomster (S, T, §8), stuplav (S, T), tvåblad (S, §8), vedticka (S, T), ögonpyrola (S, T), hultbräken (T), kransmossa (T), liljekonvalj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