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28 naturvårdsarter, varav 13 är rödlistade, 9 är fridlysta, 22 är typiska (T) och 8 är signalarter (S): garnlav (VU, T), knärot (VU, T, §8), ulltickeporing (VU), gammelgransskål (NT, T), harticka (NT, T), lunglav (NT, T), rosenticka (NT, T), talltita (NT, §4), tretåig hackspett (NT, T, §4), ullticka (NT, T), vedskivlav (NT, T), vedtrappmossa (NT, T), äggvaxskivling (NT), bårdlav (S, T), korallrot (S, T, §8), luddlav (S, T), spindelblomster (S, T, §8), stuplav (S, T), tvåblad (S, §8), vedticka (S, T), ögonpyrola (S, T), hultbräken (T), kransmossa (T), liljekonvalj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vedskivlav (NT, T), vedtrappmossa (NT, T), bårdlav (S, T), korallrot (S, T, §8), luddlav (S, T), spindelblomster (S, T, §8), stuplav (S, T), vedticka (S, T), ögonpyrola (S, T), hultbräken (T), kransmossa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