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Nedan presenteras fynd av naturvårdsarter och fridlysta arter som gjorts i det avverkningsanmälda området, samt relevanta utdrag ur standarderna för FSC, Chain of Custody, Controlled Wood och PEFC. I BILAGA 1 finns artfakta om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31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