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22078-2021 i Krokoms kommun</w:t>
      </w:r>
    </w:p>
    <w:p>
      <w:r>
        <w:t>Detta dokument behandlar höga naturvärden i avverkningsanmälan A 22078-2021 i Krokoms kommun. Denna avverkningsanmälan inkom 2021-05-07 00:00:00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rynkskinn (VU), garnlav (NT), granticka (NT), kavernularia (NT), mjölig dropplav (NT), tretåig hackspett (NT, §4), ullticka (NT), mörk husmossa (S), skogshakmossa (S), svavelriska (S), vedticka (S), ögonpyrola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180"/>
            <wp:docPr id="1" name="Picture 1"/>
            <wp:cNvGraphicFramePr>
              <a:graphicFrameLocks noChangeAspect="1"/>
            </wp:cNvGraphicFramePr>
            <a:graphic>
              <a:graphicData uri="http://schemas.openxmlformats.org/drawingml/2006/picture">
                <pic:pic>
                  <pic:nvPicPr>
                    <pic:cNvPr id="0" name="A 22078-2021 karta.png"/>
                    <pic:cNvPicPr/>
                  </pic:nvPicPr>
                  <pic:blipFill>
                    <a:blip r:embed="rId16"/>
                    <a:stretch>
                      <a:fillRect/>
                    </a:stretch>
                  </pic:blipFill>
                  <pic:spPr>
                    <a:xfrm>
                      <a:off x="0" y="0"/>
                      <a:ext cx="5486400" cy="3719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7028219, E 437716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Kavernularia (NT)</w:t>
      </w:r>
      <w:r>
        <w:t xml:space="preserve"> är en rikligt förgrenad bladlav, som på den svarta undersidan har rikligt med karaktäristiska små håligheter, s. k. cavernulae. Den växer på de nedre tunna grenarna av gran i halvöppna gamla granskogar i områden av Jämtland och Åsele Lappmark med ett suboceaniskt klimat. Avverkning av kontinuitetsskogar med hög och jämn luftfuktighet är ett hot. Flera områden med kavernularia måste skyddas (SLU Artdatabanken, 2024).</w:t>
      </w:r>
    </w:p>
    <w:p>
      <w:r>
        <w:rPr>
          <w:b/>
        </w:rPr>
        <w:t>Mjölig dropplav (NT)</w:t>
      </w:r>
      <w:r>
        <w:t xml:space="preserve"> växer på gamla granar i boreala granskogar med lång trädkontinuitet och hög luftfuktighet. Avverkning liksom även kraftig utglesning av skog på eller i omedelbar närhet av lokalerna utgör ett hot. Bördiga sumpgranskogar med hög och jämn luftfuktighet bör inte avverkas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