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28823-2024 i Krokoms kommun</w:t>
      </w:r>
    </w:p>
    <w:p>
      <w:r>
        <w:t>Detta dokument behandlar höga naturvärden i avverkningsanmälan A 28823-2024 i Krokoms kommun. Denna avverkningsanmälan inkom 2024-07-05 00:00:00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fjällig knopplav (VU), skuggnål (VU), smalskaftslav (VU), gammelgransskål (NT), garnlav (NT), granticka (NT), liten svartspik (NT), mjölig dropplav (NT), rödbrun blekspik (NT), ullticka (NT), vitgrynig nållav (NT), barkkornlav (S), gulnål (S), gytterlav (S), korallblylav (S), mörk husmossa (S), rostfläck (S), stuplav (S), svavelriska (S), vedticka (S) och ögonpyrola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9447"/>
            <wp:docPr id="1" name="Picture 1"/>
            <wp:cNvGraphicFramePr>
              <a:graphicFrameLocks noChangeAspect="1"/>
            </wp:cNvGraphicFramePr>
            <a:graphic>
              <a:graphicData uri="http://schemas.openxmlformats.org/drawingml/2006/picture">
                <pic:pic>
                  <pic:nvPicPr>
                    <pic:cNvPr id="0" name="A 28823-2024 karta.png"/>
                    <pic:cNvPicPr/>
                  </pic:nvPicPr>
                  <pic:blipFill>
                    <a:blip r:embed="rId16"/>
                    <a:stretch>
                      <a:fillRect/>
                    </a:stretch>
                  </pic:blipFill>
                  <pic:spPr>
                    <a:xfrm>
                      <a:off x="0" y="0"/>
                      <a:ext cx="5486400" cy="467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7037545, E 455863 i SWEREF 99 TM.</w:t>
      </w:r>
    </w:p>
    <w:p>
      <w:r>
        <w:rPr>
          <w:b/>
        </w:rPr>
        <w:t>Fjällig knopplav (VU)</w:t>
      </w:r>
      <w:r>
        <w:t xml:space="preserve"> växer på gamla granar i grandominerade skogar med hög och jämn luftfuktighet. Avverkning av kontinuitetsskog i norra Sverige är ett hot. Alla växtplatser måste skyddas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