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51998-2025 i Krokoms kommun</w:t>
      </w:r>
    </w:p>
    <w:p>
      <w:r>
        <w:t>Detta dokument behandlar höga naturvärden i avverkningsanmälan A 51998-2025 i Krokoms kommun. Denna avverkningsanmälan inkom 2025-10-22 14:07:30 och omfattar 10,3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11 naturvårdsarter hittats: knärot (VU, §8), finbräken (S), guckusko (S, §7), korallrot (S, §8), spindelblomster (S, §8), trådfräken (S), tvåblad (S, §8), ögonpyrola (S), brudsporre (§8), fläcknycklar (§8)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91300"/>
            <wp:docPr id="1" name="Picture 1"/>
            <wp:cNvGraphicFramePr>
              <a:graphicFrameLocks noChangeAspect="1"/>
            </wp:cNvGraphicFramePr>
            <a:graphic>
              <a:graphicData uri="http://schemas.openxmlformats.org/drawingml/2006/picture">
                <pic:pic>
                  <pic:nvPicPr>
                    <pic:cNvPr id="0" name="A 51998-2025 karta.png"/>
                    <pic:cNvPicPr/>
                  </pic:nvPicPr>
                  <pic:blipFill>
                    <a:blip r:embed="rId16"/>
                    <a:stretch>
                      <a:fillRect/>
                    </a:stretch>
                  </pic:blipFill>
                  <pic:spPr>
                    <a:xfrm>
                      <a:off x="0" y="0"/>
                      <a:ext cx="5486400" cy="58913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7023528, E 470083 i SWEREF 99 TM.</w:t>
      </w:r>
    </w:p>
    <w:p>
      <w:r>
        <w:rPr>
          <w:b/>
        </w:rPr>
        <w:t>Finbräken</w:t>
      </w:r>
      <w:r>
        <w:t xml:space="preserve"> växer på kalkrika marker i frisk eller fuktig mulljord. Den kräver konstant hög luftfuktighet och är mycket känslig för skogsbruksåtgärder. Arten är placerad högst upp i Skogsstyrelsens värdepyramid för bedömning av skog med höga naturvärden och utgör en karaktärsart för de mest skyddsvärda kalkgranskogarna med långvarig ekologisk kontinuitet och högt skyddsvärde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guckusko (S, §7), korallrot (S, §8), spindelblomster (S, §8), tvåblad (S, §8), brudsporre (§8), fläcknycklar (§8) och revlummer (§9).</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0.44 ha med buffertzonerna och får av detta skäl inte avverkas.</w:t>
      </w:r>
    </w:p>
    <w:p>
      <w:pPr>
        <w:pStyle w:val="Caption"/>
      </w:pPr>
      <w:r>
        <w:drawing>
          <wp:inline xmlns:a="http://schemas.openxmlformats.org/drawingml/2006/main" xmlns:pic="http://schemas.openxmlformats.org/drawingml/2006/picture">
            <wp:extent cx="5486400" cy="7553534"/>
            <wp:docPr id="2" name="Picture 2"/>
            <wp:cNvGraphicFramePr>
              <a:graphicFrameLocks noChangeAspect="1"/>
            </wp:cNvGraphicFramePr>
            <a:graphic>
              <a:graphicData uri="http://schemas.openxmlformats.org/drawingml/2006/picture">
                <pic:pic>
                  <pic:nvPicPr>
                    <pic:cNvPr id="0" name="A 51998-2025 karta knärot.png"/>
                    <pic:cNvPicPr/>
                  </pic:nvPicPr>
                  <pic:blipFill>
                    <a:blip r:embed="rId17"/>
                    <a:stretch>
                      <a:fillRect/>
                    </a:stretch>
                  </pic:blipFill>
                  <pic:spPr>
                    <a:xfrm>
                      <a:off x="0" y="0"/>
                      <a:ext cx="5486400" cy="755353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7023528, E 470083 i SWEREF 99 TM.</w:t>
      </w:r>
    </w:p>
    <w:p>
      <w:pPr>
        <w:pStyle w:val="Caption"/>
      </w:pPr>
    </w:p>
    <w:p>
      <w:r>
        <w:rPr>
          <w:b/>
        </w:rPr>
        <w:t>Korallrot (§8)</w:t>
      </w:r>
      <w:r>
        <w:t xml:space="preserve"> växer i sumpskogar och annan fuktig eller växelfuktig skogsmark, exempelvis i alkärr och kärrkanter, fuktiga bäckdalar, raviner, myrlaggar, sumpiga strandskogar samt i fuktiga lundar. Den visar på mer eller mindre stabila förhållanden och intakt hydrologi och är känslig för avverkning, körskador, skogsgödsling och dikning. Arten är fridlyst enligt 8 § artskyddsförordningen (SLU Artdatabanken, 2024; Nitare &amp; Skogsstyrelsen, 2019).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