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67089-2021 i Krokoms kommun</w:t>
      </w:r>
    </w:p>
    <w:p>
      <w:r>
        <w:t>Detta dokument behandlar höga naturvärden i avverkningsanmälan A 67089-2021 i Krokoms kommun. Denna avverkningsanmälan inkom 2021-11-22 00:00:00 och omfattar 15,4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48 naturvårdsarter hittats: skarptandad daggkåpa (EN), fjällfotad musseron (VU), kejsarskivling (VU), läderdoftande fingersvamp (VU), norsk näverlav (VU), rynkskinn (VU), taggfingersvamp (VU), doftskinn (NT), flattoppad klubbsvamp (NT), gammelgransskål (NT), garnlav (NT), grantaggsvamp (NT), granticka (NT), gränsticka (NT), harticka (NT), järpe (NT, §4), kavernularia (NT), liten svartspik (NT), luddfingersvamp (NT), lunglav (NT), nordlig nållav (NT), persiljespindling (NT), rosenticka (NT), rödbrun klubbdyna (NT), skogsfru (NT, §8), skrovellav (NT), småflikig brosklav (NT), spillkråka (NT, §4), talltita (NT, §4), tretåig hackspett (NT, §4), ullticka (NT), vitgrynig nållav (NT), äggvaxskivling (NT), bårdlav (S), granriska (S), kambräken (S), korallblylav (S), mörk husmossa (S), norrlandslav (S), skinnlav (S), spindelblomster (S, §8), strimspindling (S), tibast (S), trådfräken (S), tvåblad (S, §8), vedticka (S), ögonpyrola (S) och blåsippa (§9). Av dessa är 33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67089-2021 karta.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7032666, E 446882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Fjällfotad musseron (VU)</w:t>
      </w:r>
      <w:r>
        <w:t xml:space="preserve"> bildar mykorrhiza med gran i äldre barrskog på kalkrik mark. Arten är en god indikator på en skyddsvärd miljö och platser där den förekommer bör därför undantas från storskaligt skogsbruk (SLU Artdatabanken, 2024; Nitare &amp; Skogsstyrelsen, 2019).</w:t>
      </w:r>
    </w:p>
    <w:p>
      <w:r>
        <w:rPr>
          <w:b/>
        </w:rPr>
        <w:t xml:space="preserve">Flattoppad klubbsvamp (NT) </w:t>
      </w:r>
      <w:r>
        <w:t>bildar mykorrhiza med gran och växer i äldre barrskog på näringsrik, kalkpåverkad mark. Växtmiljön utgörs vanligen av örtrika granskogar med höga naturvärden, gärna påverkade av ytligt och rörligt markvatten. Svampen kräver välutvecklade gamla mossmattor med konstant fuktigt mikroklimat och hotas främst av slutavverkning av äldre ängsgranskogar på näringsrik mark. Artens lokaler bör undantas från skogsbruk (SLU Artdatabanken, 2024).</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 xml:space="preserve">Grantaggsvamp (NT) </w:t>
      </w:r>
      <w:r>
        <w:t>påträffas främst i mossiga och örtrika äldre granskogar på kalkrik mark i något fuktiga lägen, och i norr även i mager tallskog med lång kontinuitet. Arten missgynnas generellt av trakthyggesbruket och en långsiktig tillgång till värdträd bör säkras genom att man undviker att avverka kända växtplatser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Kavernularia (NT)</w:t>
      </w:r>
      <w:r>
        <w:t xml:space="preserve"> är en rikligt förgrenad bladlav, som på den svarta undersidan har rikligt med karaktäristiska små håligheter, s. k. cavernulae. Den växer på de nedre tunna grenarna av gran i halvöppna gamla granskogar i områden av Jämtland och Åsele Lappmark med ett suboceaniskt klimat. Avverkning av kontinuitetsskogar med hög och jämn luftfuktighet är ett hot. Flera områden med kavernularia måste skyddas (SLU Artdatabanken, 2024).</w:t>
      </w:r>
    </w:p>
    <w:p>
      <w:r>
        <w:rPr>
          <w:b/>
        </w:rPr>
        <w:t>Kejsarskivling (VU)</w:t>
      </w:r>
      <w:r>
        <w:t xml:space="preserve"> bildar mykorrhiza med tall, ibland även med gran och växer huvudsakligen på kalkrik mark i barrskog, framförallt mossig gammal granskog med inslag av tall. Arten är placerad högst upp i Skogsstyrelsens värdepyramid för bedömning av skog med höga naturvärden och hotas av slutavverkning, markberedning och en generell minskning av andelen gamla träd i våra skogar. Kejsarskivlingen är globalt rödlistad som nära hotad (NT) vilket innebär att Sverige har ett internationellt ansvar för arten (SLU Artdatabanken, 2024; Nitare &amp; Skogsstyrelsen, 2019).</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Liten svartspik (NT)</w:t>
      </w:r>
      <w:r>
        <w:t xml:space="preserve"> växer på granbark i boreala barrskogar med lång trädkontinuitet och hög luftfuktighet. Orsaken till tillbakagången beror på främst på slutavverkningar av naturskogsartade granskogar. Bestånd med riklig förekomst av liten svartspik bör regelmässigt sparas. Naturhänsyn i samband med slutavverkning måste ske så att man undviker uttorkningseffekter (SLU Artdatabanken, 2024).</w:t>
      </w:r>
    </w:p>
    <w:p>
      <w:r>
        <w:rPr>
          <w:b/>
        </w:rPr>
        <w:t>Luddfingersvamp (NT)</w:t>
      </w:r>
      <w:r>
        <w:t xml:space="preserve"> påträffas på mineralrik mark i granskog med mycket hög luftfuktighet, t.ex. vid källflöden, fuktdråg, bäckar eller i anslutning till vattenfall och forsdimma. Arten är mycket uttorkningskänslig och kräver granskogsmiljöer med konstant mycket hög luftfuktighet. Den tål inte en slutavverkning eller någon form av dränering som påverkar växtplatsens hydrologi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Läderdoftande fingersvamp (VU) </w:t>
      </w:r>
      <w:r>
        <w:t>bildar mykorrhiza med gran i örtrik äldre barrskog, ofta på kalkrik mark. Den har en speciell doft som kan påminna om nytt skoläder (skoaffär), därav det svenska namnet. Den totala populationen i landet bedöms ändå ha minskat starkt och fortsatt kommer att minska då arten är knuten till en bördig äldre kalkgranskogsmiljö som successivt avverkas och där få områden alltjämt är formellt skyddade. All form av hårdhänt skogsavverkning på eller i närheten av växtplatsen missgynnar arten. Artens huvudsakliga koppling till produktiva äldre granskogar med hög bonitet gör den särskilt utsatt för slutavverkning. Samtliga lokaler bör undantas från rationellt skogsbruk och få ett områdesskydd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Norsk näverlav (VU)</w:t>
      </w:r>
      <w:r>
        <w:t>, rödlistad som sårbar, är en suboceanisk art och påträffas bara i områden med hög och jämn luftfuktighet. Den växer i fuktiga granskogar, främst på stammar eller grenar av äldre björkar och granar. Arten är placerad i toppen av Skogsstyrelsens värdepyramid för bedömning av skog med höga naturvärden och försvinner eller missgynnas starkt vid all form av avverkning på eller i anslutning till lokalerna. Norsk näverlav har en hög andel av sin världspopulation i Norge och Sverige vilket medför ett särskilt ansvar för arten (Nitare &amp; Skogsstyrelsen, 2019; SLU Artdatabanken, 2024).</w:t>
      </w:r>
    </w:p>
    <w:p>
      <w:r>
        <w:rPr>
          <w:b/>
        </w:rPr>
        <w:t>Persiljespindling (NT)</w:t>
      </w:r>
      <w:r>
        <w:t xml:space="preserve"> bildar mykorrhiza med tall, gran och bok i ängsgranskog, kalktallskog och i ängsbokskog på rikare mark. Minskningstakten uppgår till 15 % inom 50 år och bedöms vara nära gränsvärdet för Sårbar (VU). (A2c+3c+4c). Persiljespindlingen hotas av avverkningar och är särskilt känslig eftersom den är knuten till äldre, produktiv barrskog, d.v.s. en skogstyp som är en bristvara i skyddade områden i Sverige och som samtidigt försvinner i snabb takt genom slutavverkningar. Skyddet för äldre ört- och kalkrika barrskogar med trädkontinuitet måste öka och oskyddade bokskogar med persiljespindling måste få ett formellt skydd i form av biotopskydd eller naturreservat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Rödbrun klubbdyna (NT)</w:t>
      </w:r>
      <w:r>
        <w:t xml:space="preserve"> är placerad högst upp i Skogsstyrelsens värdepyramid för bedömning av skog med höga naturvärden och indikerar örtrika kalkgranskogar med höga eller mycket höga naturvärden. All form av skogsavverkning eller annan exploatering utgör ett hot och artens växtplatser bör skyddas och lämnas orörda så att en mossrik granskogsmiljö bibehålls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 xml:space="preserve">Småflikig brosklav (NT) </w:t>
      </w:r>
      <w:r>
        <w:t>signalerar i hela sitt utbredningsområde skogsbestånd med höga naturvärden. Den indikerar hög luftfuktighet och långvarig förekomst av asp (Nitare &amp; Skogsstyrelsen, 2019).</w:t>
      </w:r>
    </w:p>
    <w:p>
      <w:r>
        <w:rPr>
          <w:b/>
        </w:rPr>
        <w:t xml:space="preserve">Taggfingersvamp (VU) </w:t>
      </w:r>
      <w:r>
        <w:t>är knuten till granskogar med långvarig kontinuitet och bildar mykorrhiza med gran på rikare mark. Den totala populationen i landet bedöms ha minskat kraftigt och fortgående att minska, huvudsakligen p.g.a. att arealen örtrik äldre granskog har minskat de senaste 50 åren. Den hotas främst av skogsavverkning och tycks försvinna efter slutavverkning, markberedning och plantering och det saknas uppgifter om fynd i planterad skog eller sekundär granskog uppkommen på kalmark. Taggfingersvamp är placerad högst upp i Skogsstyrelsens värdepyramid för bedömning av skog med höga naturvärden. Områdesskydd är en viktig åtgärd för att bevara artens förekomster (SLU Artdatabanken, 2024; Nitare &amp; Skogsstyrelsen, 2019).</w:t>
      </w:r>
    </w:p>
    <w:p>
      <w:r>
        <w:rPr>
          <w:b/>
        </w:rPr>
        <w:t>Tibast</w:t>
      </w:r>
      <w:r>
        <w:t xml:space="preserve"> är en kalkgynnad buske som växer på mullrik, frisk eller svagt fuktig mark, exempelvis i gamla kalkgranskogar, lövträdslundar, varma källpåverkade sluttningar och exklusiva biotoper kopplade till vattendrag. Förekomster i gammal skog visar på höga naturvärden och bör alltid noteras i samband med naturvärdesinventeringar. Tibast är värdväxt för de två fjärilsarterna större tibastmal och brun tibastmal (CR)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järpe (NT, §4), skogsfru (NT, §8), spillkråka (NT, §4), talltita (NT, §4), tretåig hackspett (NT, §4), spindelblomster (S, §8), tvåblad (S,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0 fyndplatser för knärot registrerade på Artportalen. Figur 2 visar gränserna för buffertzoner på 50 m, som behöver lämnas kring fyndplatserna för att knärotslokalerna inte ska försvinna vid en avverkning. Av det avverkningsanmälda området överlappar 0.15 ha med buffertzonerna och får av detta skäl inte avverkas.</w:t>
      </w:r>
    </w:p>
    <w:p>
      <w:pPr>
        <w:pStyle w:val="Caption"/>
      </w:pPr>
      <w:r>
        <w:drawing>
          <wp:inline xmlns:a="http://schemas.openxmlformats.org/drawingml/2006/main" xmlns:pic="http://schemas.openxmlformats.org/drawingml/2006/picture">
            <wp:extent cx="5486400" cy="6127692"/>
            <wp:docPr id="2" name="Picture 2"/>
            <wp:cNvGraphicFramePr>
              <a:graphicFrameLocks noChangeAspect="1"/>
            </wp:cNvGraphicFramePr>
            <a:graphic>
              <a:graphicData uri="http://schemas.openxmlformats.org/drawingml/2006/picture">
                <pic:pic>
                  <pic:nvPicPr>
                    <pic:cNvPr id="0" name="A 67089-2021 karta knärot.png"/>
                    <pic:cNvPicPr/>
                  </pic:nvPicPr>
                  <pic:blipFill>
                    <a:blip r:embed="rId17"/>
                    <a:stretch>
                      <a:fillRect/>
                    </a:stretch>
                  </pic:blipFill>
                  <pic:spPr>
                    <a:xfrm>
                      <a:off x="0" y="0"/>
                      <a:ext cx="5486400" cy="6127692"/>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7032666, E 446882 i SWEREF 99 TM.</w:t>
      </w:r>
    </w:p>
    <w:p>
      <w:pPr>
        <w:pStyle w:val="Caption"/>
      </w:pPr>
    </w:p>
    <w:p>
      <w:r>
        <w:rPr>
          <w:b/>
        </w:rPr>
        <w:t>Skogsfru (NT, §8)</w:t>
      </w:r>
      <w:r>
        <w:t xml:space="preserve"> växer i fuktig, skuggig skog med rörligt markvatten och god förnaproduktion. Den är placerad högst upp i Skogsstyrelsens värdepyramid för bedömning av skog med höga naturvärden och fridlyst enligt 8 § artskyddsförordningen. Slutavverkning utan hänsyn, markberedning och skyddsdikning utgör de allvarligaste hoten mot arten (SLU Artdatabanken, 2024).</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47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48 naturvårdsarter varav 33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2025-10-21</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