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8493-2025 i Krokoms kommun</w:t>
      </w:r>
    </w:p>
    <w:p>
      <w:r>
        <w:t>Detta dokument behandlar höga naturvärden i avverkningsanmälan A 8493-2025 i Krokoms kommun. Denna avverkningsanmälan inkom 2025-02-21 00:00:00 och omfattar 6,2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30 naturvårdsarter hittats: gropig skägglav (VU), läderlappslav (VU), norsk näverlav (VU), rynkskinn (VU), garnlav (NT), kavernularia (NT), liten svartspik (NT), lunglav (NT), rödbrun blekspik (NT), skrovellav (NT), småflikig brosklav (NT), spillkråka (NT, §4), talltita (NT, §4), tretåig hackspett (NT, §4), ullticka (NT), vedskivlav (NT), vitgrynig nållav (NT), barkkornlav (S), bronshjon (S), bårdlav (S), korallblylav (S), luddlav (S), mörk husmossa (S), norrlandslav (S), skinnlav (S), stor aspticka (S), stuplav (S), gråspett (§4), lavskrika (§4) och blåsippa (§9).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2542"/>
            <wp:docPr id="1" name="Picture 1"/>
            <wp:cNvGraphicFramePr>
              <a:graphicFrameLocks noChangeAspect="1"/>
            </wp:cNvGraphicFramePr>
            <a:graphic>
              <a:graphicData uri="http://schemas.openxmlformats.org/drawingml/2006/picture">
                <pic:pic>
                  <pic:nvPicPr>
                    <pic:cNvPr id="0" name="A 8493-2025 karta.png"/>
                    <pic:cNvPicPr/>
                  </pic:nvPicPr>
                  <pic:blipFill>
                    <a:blip r:embed="rId16"/>
                    <a:stretch>
                      <a:fillRect/>
                    </a:stretch>
                  </pic:blipFill>
                  <pic:spPr>
                    <a:xfrm>
                      <a:off x="0" y="0"/>
                      <a:ext cx="5486400" cy="4632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7029142, E 452064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Läderlappslav (VU)</w:t>
      </w:r>
      <w:r>
        <w:t xml:space="preserve"> växer på gamla lövträd, främst lönn, rönn, asp och ask, på lokaler med hög luftfuktighet. Lämpliga lokaler bör skyddas. Tills vidare bör lokaler i skog undantas från rationell skogsskötsel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Småflikig brosklav (NT) </w:t>
      </w:r>
      <w:r>
        <w:t>signalerar i hela sitt utbredningsområde skogsbestånd med höga naturvärden. Den indikerar hög luftfuktighet och långvarig förekomst av asp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gråspett (§4), lavskrika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27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30 naturvårdsarter varav 17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