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12809-2024 i Krokoms kommun</w:t>
      </w:r>
    </w:p>
    <w:p>
      <w:r>
        <w:t>Detta dokument behandlar höga naturvärden i avverkningsanmälan A 12809-2024 i Krokoms kommun. Denna avverkningsanmälan inkom 2024-04-02 00:00:00 och omfattar 54,8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rödlistade arter.</w:t>
      </w:r>
    </w:p>
    <w:p>
      <w:pPr>
        <w:pStyle w:val="Heading1"/>
      </w:pPr>
      <w:r>
        <w:t>Naturvårdsarter</w:t>
      </w:r>
    </w:p>
    <w:p>
      <w:r>
        <w:t>I avverkningsanmälan har följande 31 naturvårdsarter hittats: norsk näverlav (VU), doftskinn (NT), gammelgransskål (NT), garnlav (NT), granticka (NT), grynig filtlav (NT), gränsticka (NT), lunglav (NT), skrovellav (NT), ullticka (NT), vitgrynig nållav (NT), bårdlav (S), finbräken (S), grönkulla (S, §8), gytterlav (S), korallblylav (S), korallrot (S, §8), kransrams (S), luddlav (S), skinnlav (S), spindelblomster (S, §8), stuplav (S), svart trolldruva (S), taggbräken (S), tibast (S), trådticka (S), vedticka (S), ögonpyrola (S), vanlig groda (§6), fläcknycklar (§8) och revlummer (§9).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1910048"/>
            <wp:docPr id="1" name="Picture 1"/>
            <wp:cNvGraphicFramePr>
              <a:graphicFrameLocks noChangeAspect="1"/>
            </wp:cNvGraphicFramePr>
            <a:graphic>
              <a:graphicData uri="http://schemas.openxmlformats.org/drawingml/2006/picture">
                <pic:pic>
                  <pic:nvPicPr>
                    <pic:cNvPr id="0" name="A 12809-2024 karta.png"/>
                    <pic:cNvPicPr/>
                  </pic:nvPicPr>
                  <pic:blipFill>
                    <a:blip r:embed="rId16"/>
                    <a:stretch>
                      <a:fillRect/>
                    </a:stretch>
                  </pic:blipFill>
                  <pic:spPr>
                    <a:xfrm>
                      <a:off x="0" y="0"/>
                      <a:ext cx="5486400" cy="19100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7072508, E 460335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Finbräken</w:t>
      </w:r>
      <w:r>
        <w:t xml:space="preserve"> växer på kalkrika marker i frisk eller fuktig mulljord. Den kräver konstant hög luftfuktighet och är mycket känslig för skogsbruksåtgärder. Arten är placerad högst upp i Skogsstyrelsens värdepyramid för bedömning av skog med höga naturvärden och utgör en karaktärsart för de mest skyddsvärda kalkgranskogarna med långvarig ekologisk kontinuitet och högt skyddsvärde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grönkulla (S, §8), korallrot (S, §8), spindelblomster (S, §8), vanlig groda (§6), fläcknycklar (§8) och revlummer (§9).</w:t>
      </w: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br w:type="page"/>
      </w:r>
    </w:p>
    <w:p>
      <w:pPr>
        <w:pStyle w:val="Title"/>
      </w:pPr>
      <w:r>
        <w:t>BILAGA 1 – Rödlistade arter</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