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22078-2021 i Krokoms kommun</w:t>
      </w:r>
    </w:p>
    <w:p>
      <w:r>
        <w:t>Detta dokument behandlar höga naturvärden i avverkningsanmälan A 22078-2021 i Krokoms kommun. Denna avverkningsanmälan inkom 2021-05-07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rynkskinn (VU), garnlav (NT), granticka (NT), kavernularia (NT), mjölig dropplav (NT), tretåig hackspett (NT, §4), ullticka (NT), mörk husmossa (S), skogshakmossa (S), svavelriska (S), vedticka (S), ögonpyrola (S) och fläcknycklar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9180"/>
            <wp:docPr id="1" name="Picture 1"/>
            <wp:cNvGraphicFramePr>
              <a:graphicFrameLocks noChangeAspect="1"/>
            </wp:cNvGraphicFramePr>
            <a:graphic>
              <a:graphicData uri="http://schemas.openxmlformats.org/drawingml/2006/picture">
                <pic:pic>
                  <pic:nvPicPr>
                    <pic:cNvPr id="0" name="A 22078-2021 karta.png"/>
                    <pic:cNvPicPr/>
                  </pic:nvPicPr>
                  <pic:blipFill>
                    <a:blip r:embed="rId16"/>
                    <a:stretch>
                      <a:fillRect/>
                    </a:stretch>
                  </pic:blipFill>
                  <pic:spPr>
                    <a:xfrm>
                      <a:off x="0" y="0"/>
                      <a:ext cx="5486400" cy="3719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7028219, E 437716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Mjölig dropplav (NT)</w:t>
      </w:r>
      <w:r>
        <w:t xml:space="preserve"> växer på gamla granar i boreala granskogar med lång trädkontinuitet och hög luftfuktighet. Avverkning liksom även kraftig utglesning av skog på eller i omedelbar närhet av lokalerna utgör ett hot. Bördiga sumpgranskogar med hög och jämn luftfuktighet bör inte avverkas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