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3005-2022 i Krokoms kommun</w:t>
      </w:r>
    </w:p>
    <w:p>
      <w:r>
        <w:t>Detta dokument behandlar höga naturvärden i avverkningsanmälan A 3005-2022 i Krokoms kommun. Denna avverkningsanmälan inkom 2022-01-20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läderdoftande fingersvamp (VU), smalskaftslav (VU), taggfingersvamp (VU), ulltickeporing (VU), garnlav (NT), granticka (NT), skrovellav (NT), tretåig hackspett (NT, §4), ullticka (NT), äggvaxskivling (NT), korallblylav (S), spindelblomster (S, §8) och svavelriska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5110"/>
            <wp:docPr id="1" name="Picture 1"/>
            <wp:cNvGraphicFramePr>
              <a:graphicFrameLocks noChangeAspect="1"/>
            </wp:cNvGraphicFramePr>
            <a:graphic>
              <a:graphicData uri="http://schemas.openxmlformats.org/drawingml/2006/picture">
                <pic:pic>
                  <pic:nvPicPr>
                    <pic:cNvPr id="0" name="A 3005-2022 karta.png"/>
                    <pic:cNvPicPr/>
                  </pic:nvPicPr>
                  <pic:blipFill>
                    <a:blip r:embed="rId16"/>
                    <a:stretch>
                      <a:fillRect/>
                    </a:stretch>
                  </pic:blipFill>
                  <pic:spPr>
                    <a:xfrm>
                      <a:off x="0" y="0"/>
                      <a:ext cx="5486400" cy="51851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7034116, E 447023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Läderdoftande fingersvamp (VU) </w:t>
      </w:r>
      <w:r>
        <w:t>bildar mykorrhiza med gran i örtrik äldre barrskog, ofta på kalkrik mark. Den har en speciell doft som kan påminna om nytt skoläder (skoaffär), därav det svenska namnet. Den totala populationen i landet bedöms ändå ha minskat starkt och fortsatt kommer att minska då arten är knuten till en bördig äldre kalkgranskogsmiljö som successivt avverkas och där få områden alltjämt är formellt skyddade. All form av hårdhänt skogsavverkning på eller i närheten av växtplatsen missgynnar arten. Artens huvudsakliga koppling till produktiva äldre granskogar med hög bonitet gör den särskilt utsatt för slutavverkning. Samtliga lokaler bör undantas från rationellt skogsbruk och få ett områdesskydd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 xml:space="preserve">Taggfingersvamp (VU) </w:t>
      </w:r>
      <w:r>
        <w:t>är knuten till granskogar med långvarig kontinuitet och bildar mykorrhiza med gran på rikare mark. Den totala populationen i landet bedöms ha minskat kraftigt och fortgående att minska, huvudsakligen p.g.a. att arealen örtrik äldre granskog har minskat de senaste 50 åren. Den hotas främst av skogsavverkning och tycks försvinna efter slutavverkning, markberedning och plantering och det saknas uppgifter om fynd i planterad skog eller sekundär granskog uppkommen på kalmark. Taggfingersvamp är placerad högst upp i Skogsstyrelsens värdepyramid för bedömning av skog med höga naturvärden. Områdesskydd är en viktig åtgärd för att bevara artens förekomster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Äggvaxskivling (NT)</w:t>
      </w:r>
      <w:r>
        <w:t xml:space="preserve"> bildar mykorrhiza med gran och förekommer huvudsakligen i äldre blåbärsgranskog. Har i Sverige en nordlig utbredningsbild och är relativt vanlig i norra Sverige. Total population i landet bedöms ha minskat kraftigt och fortgående att minska p.g.a. slutavverkningar av kontinuitetsskogar. Skogar med rik förekomst av äggvaxskivling brukar ha en artrik flora av mykorrhizasvampar och kan betraktas som nyckelbiotoper (SLU Artdatabanken, 2024).</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