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34803-2025 i Krokoms kommun</w:t>
      </w:r>
    </w:p>
    <w:p>
      <w:r>
        <w:t>Detta dokument behandlar höga naturvärden i avverkningsanmälan A 34803-2025 i Krokoms kommun. Denna avverkningsanmälan inkom 2025-07-11 00:00:00 och omfattar 20,0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och rödlistade arter.</w:t>
      </w:r>
    </w:p>
    <w:p>
      <w:pPr>
        <w:pStyle w:val="Heading1"/>
      </w:pPr>
      <w:r>
        <w:t>Naturvårdsarter</w:t>
      </w:r>
    </w:p>
    <w:p>
      <w:r>
        <w:t>I avverkningsanmälan har följande 15 naturvårdsarter hittats: brunpudrad nållav (NT), doftskinn (NT), garnlav (NT), granticka (NT), harticka (NT), Leptoporus mollis (NT), lunglav (NT), talltita (NT, §4), tretåig hackspett (NT, §4), ullticka (NT), blodticka (S), spindelblomster (S, §8), trådticka (S), vedticka (S) och fläcknycklar (§8). Av dessa är 10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56185"/>
            <wp:docPr id="1" name="Picture 1"/>
            <wp:cNvGraphicFramePr>
              <a:graphicFrameLocks noChangeAspect="1"/>
            </wp:cNvGraphicFramePr>
            <a:graphic>
              <a:graphicData uri="http://schemas.openxmlformats.org/drawingml/2006/picture">
                <pic:pic>
                  <pic:nvPicPr>
                    <pic:cNvPr id="0" name="A 34803-2025 karta.png"/>
                    <pic:cNvPicPr/>
                  </pic:nvPicPr>
                  <pic:blipFill>
                    <a:blip r:embed="rId16"/>
                    <a:stretch>
                      <a:fillRect/>
                    </a:stretch>
                  </pic:blipFill>
                  <pic:spPr>
                    <a:xfrm>
                      <a:off x="0" y="0"/>
                      <a:ext cx="5486400" cy="515618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7041373, E 461861 i SWEREF 99 TM.</w:t>
      </w:r>
    </w:p>
    <w:p>
      <w:r>
        <w:rPr>
          <w:b/>
        </w:rPr>
        <w:t>Brunpudrad nållav (NT)</w:t>
      </w:r>
      <w:r>
        <w:t xml:space="preserve"> är beroende av hög, jämn luftfuktighet och kan påträffas i fuktiga skogar av naturskogskaraktär, ofta i sumpgranskog eller andra sumpskogar. Arten är placerad högst upp i Skogsstyrelsens värdepyramid för bedömning av skog med höga naturvärden och förekomster bör undantas från skogsbruksåtgärder (SLU Artdatabanken, 2024; Nitare &amp; Skogsstyrelsen, 2019).</w:t>
      </w:r>
    </w:p>
    <w:p>
      <w:r>
        <w:rPr>
          <w:b/>
        </w:rPr>
        <w:t>Doftskinn (NT)</w:t>
      </w:r>
      <w:r>
        <w:t>, rödlistad som nära hotad, är en mycket bra signalart för boreal granskog och indikerar ett gran-skogsekosystem med lång kontinuitet av grova lågor. Arten är placerad i toppen av Skogsstyrelsens värdepyramid för bedömning av skog med höga naturvärden och har klassats som en “urskogsindikator”, då den förekommer med ett tydligt optimum i helt eller nästan helt orörda skogar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i/>
        </w:rPr>
        <w:t xml:space="preserve">Leptoporus mollis </w:t>
      </w:r>
      <w:r>
        <w:rPr>
          <w:b/>
        </w:rPr>
        <w:t>(NT)</w:t>
      </w:r>
      <w:r>
        <w:t xml:space="preserve"> är granens kötticka och har klassificerats som ”gammelskogsindikator”, då den förekommer med ett tydligt optimum i äldre barrskogar, främst fuktiga granskogar. Den har högst signalvärde söder om den naturliga norrlandsgränsen </w:t>
      </w:r>
      <w:r>
        <w:rPr>
          <w:i/>
        </w:rPr>
        <w:t>limes norrlandicus</w:t>
      </w:r>
      <w:r>
        <w:t>, men signalerar vanligtvis höga naturvärden även i Norrland. Arten är knuten till miljöer med konstant luftfuktighet och känslig för uttorkning som en avverkning kan medföra. Den totala populationen bedöms därför ha minskat under de senaste 30 åren och fortsätter att minska i takt med att grankontinuitetsskogar (skogar som inte kalavverkats) minskar i areal, samtidigt som att lämpliga miljöer inte återskapas i samma takt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talltita (NT, §4), tretåig hackspett (NT, §4), spindelblomster (S, §8) och fläcknycklar (§8).</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r>
        <w:br w:type="page"/>
      </w:r>
    </w:p>
    <w:p>
      <w:pPr>
        <w:pStyle w:val="Title"/>
      </w:pPr>
      <w:r>
        <w:t>BILAGA 1 –</w:t>
        <w:br/>
        <w:t>Fridlysta och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