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51504-2025 i Krokoms kommun</w:t>
      </w:r>
    </w:p>
    <w:p>
      <w:r>
        <w:t>Detta dokument behandlar höga naturvärden i avverkningsanmälan A 51504-2025 i Krokoms kommun. Denna avverkningsanmälan inkom 2025-10-20 15:20:43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njurlavsknapp (EN), blackticka (VU), rynkskinn (VU), brunpudrad nållav (NT), doftskinn (NT), gammelgransskål (NT), garnlav (NT), granticka (NT), järpe (NT, §4), kavernularia (NT), liten svartspik (NT), lunglav (NT), mörk kolflarnlav (NT), rosenticka (NT), skrovellav (NT), smålom (NT, §4), spillkråka (NT, §4), tretåig hackspett (NT, §4), ullticka (NT), vedskivlav (NT), vitgrynig nållav (NT), barkkornlav (S), bårdlav (S), korallblylav (S), luddlav (S), norrlandslav (S), stuplav (S), vedticka (S), ögonpyrola (S), kungsfågel (§4) och blåsippa (§9).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150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7051956, E 460749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Njurlavsknapp (EN) </w:t>
      </w:r>
      <w:r>
        <w:t>är en mycket sällsynt parasitisk svamp som växer på signalarten stuplav. Njurlavsknappen ställer höga krav på sin livsmiljö och är beroende av hög och jämn luftfuktighet, sannolikt krävs det ett suboceaniskt lokalklimat för att den ska trivas på sina lokaler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smålom (NT, §4), spillkråka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