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60873-2024 i Krokoms kommun</w:t>
      </w:r>
    </w:p>
    <w:p>
      <w:r>
        <w:t>Detta dokument behandlar höga naturvärden i avverkningsanmälan A 60873-2024 i Krokoms kommun. Denna avverkningsanmälan inkom 2024-12-18 00:00:00 och omfattar 83,8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14 naturvårdsarter hittats: grantickeporing (VU), kristallticka (VU), rynkskinn (VU), doftskinn (NT), garnlav (NT), granticka (NT), gränsticka (NT), harticka (NT), liten svartspik (NT), rödbrun blekspik (NT), skrovellav (NT), ullticka (NT), vitgrynig nållav (NT) och finbräken (S). Av dessa är 13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2139"/>
            <wp:docPr id="1" name="Picture 1"/>
            <wp:cNvGraphicFramePr>
              <a:graphicFrameLocks noChangeAspect="1"/>
            </wp:cNvGraphicFramePr>
            <a:graphic>
              <a:graphicData uri="http://schemas.openxmlformats.org/drawingml/2006/picture">
                <pic:pic>
                  <pic:nvPicPr>
                    <pic:cNvPr id="0" name="A 60873-2024 karta.png"/>
                    <pic:cNvPicPr/>
                  </pic:nvPicPr>
                  <pic:blipFill>
                    <a:blip r:embed="rId16"/>
                    <a:stretch>
                      <a:fillRect/>
                    </a:stretch>
                  </pic:blipFill>
                  <pic:spPr>
                    <a:xfrm>
                      <a:off x="0" y="0"/>
                      <a:ext cx="5486400" cy="3492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7088535, E 446310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Grantickeporing (VU)</w:t>
      </w:r>
      <w:r>
        <w:t xml:space="preserve"> växer på murken ved och döda fruktkroppar av granticka (NT) och gränsticka (NT). Den förekommer i naturskogsliknade granskogar, gärna i fuktiga miljöer vid källbäckar och liknande. Avverkning av naturskogslika miljöer och av grova granar där grantickeporing förekommer är ett direkt hot mot artens fortlevnad. Gamla granskogar som hyser arten undantas helt från skogsbruk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Kristallticka (VU)</w:t>
      </w:r>
      <w:r>
        <w:t xml:space="preserve"> är en mycket krävande art som växer i urskogsartade barrnaturskogar där det finns rikligt med grov död ved i olika nedbrytningsstadier. Den är placerad högst upp i Skogsstyrelsens värdepyramid för bedömning av skog med höga naturvärden och är en av våra främsta naturvärdesindikatorer på skyddsvärda barrnaturskogar. Alla skogsskötselåtgärder på eller i omedelbar närhet av lokalerna påverkar arten negativt liksom den minskande andelen död ved i kulturskogarna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