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61388-2024 i Krokoms kommun</w:t>
      </w:r>
    </w:p>
    <w:p>
      <w:r>
        <w:t>Detta dokument behandlar höga naturvärden i avverkningsanmälan A 61388-2024 i Krokoms kommun. Denna avverkningsanmälan inkom 2024-12-20 00:00:00 och omfattar 44,1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11 naturvårdsarter hittats: doftskinn (NT), gammelgransskål (NT), garnlav (NT), granticka (NT), knottrig blåslav (NT), rödbrun blekspik (NT), skrovellav (NT), ullticka (NT), vitgrynig nållav (NT), tvåblad (S, §8) och lavskrika (§4).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9809"/>
            <wp:docPr id="1" name="Picture 1"/>
            <wp:cNvGraphicFramePr>
              <a:graphicFrameLocks noChangeAspect="1"/>
            </wp:cNvGraphicFramePr>
            <a:graphic>
              <a:graphicData uri="http://schemas.openxmlformats.org/drawingml/2006/picture">
                <pic:pic>
                  <pic:nvPicPr>
                    <pic:cNvPr id="0" name="A 61388-2024 karta.png"/>
                    <pic:cNvPicPr/>
                  </pic:nvPicPr>
                  <pic:blipFill>
                    <a:blip r:embed="rId16"/>
                    <a:stretch>
                      <a:fillRect/>
                    </a:stretch>
                  </pic:blipFill>
                  <pic:spPr>
                    <a:xfrm>
                      <a:off x="0" y="0"/>
                      <a:ext cx="5486400" cy="32498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7085740, E 449619 i SWEREF 99 TM.</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pPr>
        <w:pStyle w:val="Heading1"/>
      </w:pPr>
      <w:r>
        <w:t>Fridlysta arter</w:t>
      </w:r>
    </w:p>
    <w:p>
      <w:r>
        <w:t>Följande fridlysta arter har sina livsmiljöer och växtplatser i den avverkningsanmälda skogen: tvåblad (S, §8) och lavskrika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Lavskrika (§4)</w:t>
      </w:r>
      <w:r>
        <w:t>, prioriterad art i Skogsvårdslagen, är en mycket stationär fågel, som häckar i äldre, slutna och hänglavsrika barrskogar. Reviren är livslånga med hemområden som varierar mellan 50 och 150 ha. Inom ett revir av hög kvalitet finns det som regel ett eller flera kärnområden (1–20 ha) med relativt tät flerskiktad granskog. Arten missgynnas när flerskiktad skog omförs till enskiktade bestånd och även röjning och hård gallring är starkt negativt. Lavskrikan har relativt stora hemområden och försvinner när den äldre skogen fragmenteras, särskilt allvarligt är när kärnområdena avverkas. (Skogsstyrelsen 2016). Populationen har minskat med 20–40 % de senaste 30 åren. Arten försvinner successivt framför allt vid dess utbredningsgränser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Lavskrika – ekologi samt krav på livsmiljön</w:t>
      </w:r>
    </w:p>
    <w:p>
      <w:r>
        <w:t>Lavskrikan är fridlyst enligt 4 § artskyddsförordningen (2007:845) och ingår i förteckningen över prioriterade arter i Skogsstyrelsens föreskrifter och allmänna råd (SKSFS 2011:7) bilaga 4.</w:t>
      </w:r>
    </w:p>
    <w:p>
      <w:r>
        <w:t xml:space="preserve">I Skogsstyrelsens vägledning för hänsyn till fåglar står bland annat att: </w:t>
      </w:r>
      <w:r>
        <w:rPr>
          <w:i/>
        </w:rPr>
        <w:t>“Reviren är livslånga med hemområden som varierar mellan 50 och 150 ha. Hemområdena har inga fasta gränser utan det handlar mera om de yttre gränserna för familjegruppernas rörelser. Lavskrikan undviker att förflytta sig över stora öppna områden och hemområdesstorleken är därför större i områden fragmenterade av hyggen och yngre skog än i områden med i sammanhängande äldre skog. Det finns studier som antyder att det inom ett revir bör finnas maximalt 15 % öppna ytor och ungskog. Inom ett revir av hög kvalitet finns det som regel ett eller flera kärnområden (1–20 ha) med relativt tät flerskiktad granskog.”</w:t>
      </w:r>
      <w:r>
        <w:t xml:space="preserve"> Vidare att: </w:t>
      </w:r>
      <w:r>
        <w:rPr>
          <w:i/>
        </w:rPr>
        <w:t>“Arten missgynnas när flerskiktad skog omförs till enskiktade bestånd. Även skogsskötsel med återkommande röjning och hård gallring är starkt negativt. Lavskrikan har relativt stora hemområden och försvinner när den äldre skogen fragmenteras, särskilt allvarligt är när kärnområdena avverkas.”</w:t>
      </w:r>
      <w:r>
        <w:t xml:space="preserve"> (Skogsstyrelsen 2016).</w:t>
      </w:r>
    </w:p>
    <w:p>
      <w:r>
        <w:t>Populationen har minskat med 20–40 % de senaste 30 åren, men i Svensk Fågeltaxerings standardrutter varierar antalet kraftigt och ingen minskning kan skönjas de senaste 18 åren. Arten försvinner successivt framför allt vid dess utbredningsgränser (SLU Artdatabanken, 2022).</w:t>
      </w:r>
    </w:p>
    <w:p>
      <w:pPr>
        <w:pStyle w:val="Heading2"/>
      </w:pPr>
      <w:r>
        <w:t>Referenser – lavskrika</w:t>
      </w:r>
    </w:p>
    <w:p>
      <w:r>
        <w:t xml:space="preserve">Skogsstyrelsen, 2016. </w:t>
      </w:r>
      <w:r>
        <w:rPr>
          <w:i/>
        </w:rPr>
        <w:t xml:space="preserve">Vägledning för hänsyn till fåglar – lavskrika. </w:t>
      </w:r>
      <w:r>
        <w:t>https://www.skogsstyrelsen.se/globalassets/lag-och-tillsyn/artskydd/vagledningar-for-hansyn-till-faglar/lavskrika-vagledning-hansyn.pdf</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