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63628-2020 i Krokoms kommun</w:t>
      </w:r>
    </w:p>
    <w:p>
      <w:r>
        <w:t>Detta dokument behandlar höga naturvärden i avverkningsanmälan A 63628-2020 i Krokoms kommun. Denna avverkningsanmälan inkom 2020-11-30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32 naturvårdsarter hittats: borgsjömusseron (VU), fjällfotad musseron (VU), knärot (VU, §8), läderdoftande fingersvamp (VU), rynkskinn (VU), taggfingersvamp (VU), dofttaggsvamp (NT), flattoppad klubbsvamp (NT), gammelgransskål (NT), garnlav (NT), grantaggsvamp (NT), granticka (NT), gultoppig fingersvamp (NT), kavernularia (NT), liten svartspik (NT), lunglav (NT), orange taggsvamp (NT), rödbrun klubbdyna (NT), skrovellav (NT), småflikig brosklav (NT), spillkråka (NT, §4), stjärntagging (NT), ullticka (NT), vitgrynig nållav (NT), fjällig taggsvamp s.str. (S), korallblylav (S), luddlav (S), skinnlav (S), spindelblomster (S, §8), svavelriska (S), ögonpyrola (S) och blåsippa (§9). Av dessa är 24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0330"/>
            <wp:docPr id="1" name="Picture 1"/>
            <wp:cNvGraphicFramePr>
              <a:graphicFrameLocks noChangeAspect="1"/>
            </wp:cNvGraphicFramePr>
            <a:graphic>
              <a:graphicData uri="http://schemas.openxmlformats.org/drawingml/2006/picture">
                <pic:pic>
                  <pic:nvPicPr>
                    <pic:cNvPr id="0" name="A 63628-2020 karta.png"/>
                    <pic:cNvPicPr/>
                  </pic:nvPicPr>
                  <pic:blipFill>
                    <a:blip r:embed="rId16"/>
                    <a:stretch>
                      <a:fillRect/>
                    </a:stretch>
                  </pic:blipFill>
                  <pic:spPr>
                    <a:xfrm>
                      <a:off x="0" y="0"/>
                      <a:ext cx="5486400" cy="6190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7032749, E 446699 i SWEREF 99 TM.</w:t>
      </w:r>
    </w:p>
    <w:p>
      <w:r>
        <w:rPr>
          <w:b/>
        </w:rPr>
        <w:t>Borgsjömusseron (VU)</w:t>
      </w:r>
      <w:r>
        <w:t xml:space="preserve"> bildar mykorrhiza med gran, oftast i äldre örtrik barrskog. Typiska växtplatser är svackor med djupt mosstäcke eller fuktiga sluttningar. Den missgynnas starkt av skogsbruk, i synnerhet kalavverkning, eftersom den har en begränsad ekologisk nisch och sannolikt är känslig för uttorkning. Flera av fyndplatserna i Medelpad är redan förstörda på grund av kalavverkning. Arten är globalt rödlistad som sårbar (VU) vilket innebär att Sverige har ett internationellt ansvar för arten (SLU Artdatabanken, 2024; Nitare &amp; Skogsstyrelsen, 2019; IUCN, 2015).</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Fjällfotad musseron (VU)</w:t>
      </w:r>
      <w:r>
        <w:t xml:space="preserve"> bildar mykorrhiza med gran i äldre barrskog på kalkrik mark. Arten är en god indikator på en skyddsvärd miljö och platser där den förekommer bör därför undantas från storskaligt skogsbruk (SLU Artdatabanken, 2024;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klubbdyna (NT)</w:t>
      </w:r>
      <w:r>
        <w:t xml:space="preserve"> är placerad högst upp i Skogsstyrelsens värdepyramid för bedömning av skog med höga naturvärden och indikerar örtrika kalkgranskogar med höga eller mycket höga naturvärden. All form av skogsavverkning eller annan exploatering utgör ett hot och artens växtplatser bör skyddas och lämnas orörda så att en mossrik granskogsmiljö bibehålls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Småflikig brosklav (NT) </w:t>
      </w:r>
      <w:r>
        <w:t>signalerar i hela sitt utbredningsområde skogsbestånd med höga naturvärden. Den indikerar hög luftfuktighet och långvarig förekomst av asp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spillkråka (NT, §4), spindelblomster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1.41 ha med buffertzonerna och får av detta skäl inte avverkas.</w:t>
      </w:r>
    </w:p>
    <w:p>
      <w:pPr>
        <w:pStyle w:val="Caption"/>
      </w:pPr>
      <w:r>
        <w:drawing>
          <wp:inline xmlns:a="http://schemas.openxmlformats.org/drawingml/2006/main" xmlns:pic="http://schemas.openxmlformats.org/drawingml/2006/picture">
            <wp:extent cx="5486400" cy="8847338"/>
            <wp:docPr id="2" name="Picture 2"/>
            <wp:cNvGraphicFramePr>
              <a:graphicFrameLocks noChangeAspect="1"/>
            </wp:cNvGraphicFramePr>
            <a:graphic>
              <a:graphicData uri="http://schemas.openxmlformats.org/drawingml/2006/picture">
                <pic:pic>
                  <pic:nvPicPr>
                    <pic:cNvPr id="0" name="A 63628-2020 karta knärot.png"/>
                    <pic:cNvPicPr/>
                  </pic:nvPicPr>
                  <pic:blipFill>
                    <a:blip r:embed="rId17"/>
                    <a:stretch>
                      <a:fillRect/>
                    </a:stretch>
                  </pic:blipFill>
                  <pic:spPr>
                    <a:xfrm>
                      <a:off x="0" y="0"/>
                      <a:ext cx="5486400" cy="88473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7032749, E 446699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