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67089-2021 i Krokoms kommun</w:t>
      </w:r>
    </w:p>
    <w:p>
      <w:r>
        <w:t>Detta dokument behandlar höga naturvärden i avverkningsanmälan A 67089-2021 i Krokoms kommun. Denna avverkningsanmälan inkom 2021-11-22 00:00:00 och omfattar 15,4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48 naturvårdsarter hittats: skarptandad daggkåpa (EN), fjällfotad musseron (VU), kejsarskivling (VU), läderdoftande fingersvamp (VU), norsk näverlav (VU), rynkskinn (VU), taggfingersvamp (VU), doftskinn (NT), flattoppad klubbsvamp (NT), gammelgransskål (NT), garnlav (NT), grantaggsvamp (NT), granticka (NT), gränsticka (NT), harticka (NT), järpe (NT, §4), kavernularia (NT), liten svartspik (NT), luddfingersvamp (NT), lunglav (NT), nordlig nållav (NT), persiljespindling (NT), rosenticka (NT), rödbrun klubbdyna (NT), skogsfru (NT, §8), skrovellav (NT), småflikig brosklav (NT), spillkråka (NT, §4), talltita (NT, §4), tretåig hackspett (NT, §4), ullticka (NT), vitgrynig nållav (NT), äggvaxskivling (NT), bårdlav (S), granriska (S), kambräken (S), korallblylav (S), mörk husmossa (S), norrlandslav (S), skinnlav (S), spindelblomster (S, §8), strimspindling (S), tibast (S), trådfräken (S), tvåblad (S, §8), vedticka (S), ögonpyrola (S) och blåsippa (§9).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67089-2021 karta.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7032666, E 446882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Kejsarskivling (VU)</w:t>
      </w:r>
      <w:r>
        <w:t xml:space="preserve"> bildar mykorrhiza med tall, ibland även med gran och växer huvudsakligen på kalkrik mark i barrskog, framförallt mossig gammal granskog med inslag av tall. Arten är placerad högst upp i Skogsstyrelsens värdepyramid för bedömning av skog med höga naturvärden och hotas av slutavverkning, markberedning och en generell minskning av andelen gamla träd i våra skogar. Kejsarskivlingen är globalt rödlistad som nära hotad (NT) vilket innebär att Sverige har ett internationellt ansvar för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 xml:space="preserve">Taggfingersvamp (VU) </w:t>
      </w:r>
      <w:r>
        <w:t>är knuten till granskogar med långvarig kontinuitet och bildar mykorrhiza med gran på rikare mark. Den totala populationen i landet bedöms ha minskat kraftigt och fortgående att minska, huvudsakligen p.g.a. att arealen örtrik äldre granskog har minskat de senaste 50 åren. Den hotas främst av skogsavverkning och tycks försvinna efter slutavverkning, markberedning och plantering och det saknas uppgifter om fynd i planterad skog eller sekundär granskog uppkommen på kalmark. Taggfingersvamp är placerad högst upp i Skogsstyrelsens värdepyramid för bedömning av skog med höga naturvärden. Områdesskydd är en viktig åtgärd för att bevara artens förekomster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järpe (NT, §4), skogsfru (NT, §8), spillkråka (NT, §4), talltita (NT, §4), tretåig hackspett (NT, §4), spindelblomster (S, §8), tvåblad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0.15 ha med buffertzonerna och får av detta skäl inte avverkas.</w:t>
      </w:r>
    </w:p>
    <w:p>
      <w:pPr>
        <w:pStyle w:val="Caption"/>
      </w:pPr>
      <w:r>
        <w:drawing>
          <wp:inline xmlns:a="http://schemas.openxmlformats.org/drawingml/2006/main" xmlns:pic="http://schemas.openxmlformats.org/drawingml/2006/picture">
            <wp:extent cx="5486400" cy="6127692"/>
            <wp:docPr id="2" name="Picture 2"/>
            <wp:cNvGraphicFramePr>
              <a:graphicFrameLocks noChangeAspect="1"/>
            </wp:cNvGraphicFramePr>
            <a:graphic>
              <a:graphicData uri="http://schemas.openxmlformats.org/drawingml/2006/picture">
                <pic:pic>
                  <pic:nvPicPr>
                    <pic:cNvPr id="0" name="A 67089-2021 karta knärot.png"/>
                    <pic:cNvPicPr/>
                  </pic:nvPicPr>
                  <pic:blipFill>
                    <a:blip r:embed="rId17"/>
                    <a:stretch>
                      <a:fillRect/>
                    </a:stretch>
                  </pic:blipFill>
                  <pic:spPr>
                    <a:xfrm>
                      <a:off x="0" y="0"/>
                      <a:ext cx="5486400" cy="61276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7032666, E 446882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