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71570-2021 i Krokoms kommun</w:t>
      </w:r>
    </w:p>
    <w:p>
      <w:r>
        <w:t>Detta dokument behandlar höga naturvärden i avverkningsanmälan A 71570-2021 i Krokoms kommun. Denna avverkningsanmälan inkom 2021-12-10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läderdoftande fingersvamp (VU), gultoppig fingersvamp (NT), droppklibbskivling (S), fjällig taggsvamp s.str.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71570-2021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7032814, E 446581 i SWEREF 99 TM.</w:t>
      </w:r>
    </w:p>
    <w:p>
      <w:r>
        <w:rPr>
          <w:b/>
        </w:rPr>
        <w:t>Droppklibbskivling</w:t>
      </w:r>
      <w:r>
        <w:t xml:space="preserve"> signalerar örtrika kalkbarrskogar med höga naturvärden. Svampen är mycket kräsen i sina ståndortskrav och den utgör en bra signalart även när den förekommer i olika lövskogsmiljöer. På artens växtplatser påträffas normalt många andra sällsynta eller rödlistade arter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