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3 naturvårdsarter, varav 3 är rödlistade, 1 är fridlyst och 3 är typiska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