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30249-2026 i Krokoms kommun</w:t>
      </w:r>
    </w:p>
    <w:p>
      <w:r>
        <w:t>Denna tillsynsbegäran behandlar höga naturvärden i avverkningsanmälan A 30249-2026 i Krokoms kommun som inkom 2026-07-03 och omfattar 18,6 ha.</w:t>
      </w:r>
    </w:p>
    <w:p>
      <w:pPr>
        <w:pStyle w:val="Caption"/>
      </w:pPr>
      <w:r>
        <w:drawing>
          <wp:inline xmlns:a="http://schemas.openxmlformats.org/drawingml/2006/main" xmlns:pic="http://schemas.openxmlformats.org/drawingml/2006/picture">
            <wp:extent cx="5486400" cy="4800188"/>
            <wp:docPr id="1" name="Picture 1"/>
            <wp:cNvGraphicFramePr>
              <a:graphicFrameLocks noChangeAspect="1"/>
            </wp:cNvGraphicFramePr>
            <a:graphic>
              <a:graphicData uri="http://schemas.openxmlformats.org/drawingml/2006/picture">
                <pic:pic>
                  <pic:nvPicPr>
                    <pic:cNvPr id="0" name="A 30249-2026 karta.png"/>
                    <pic:cNvPicPr/>
                  </pic:nvPicPr>
                  <pic:blipFill>
                    <a:blip r:embed="rId16"/>
                    <a:stretch>
                      <a:fillRect/>
                    </a:stretch>
                  </pic:blipFill>
                  <pic:spPr>
                    <a:xfrm>
                      <a:off x="0" y="0"/>
                      <a:ext cx="5486400" cy="4800188"/>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7020595, E 468982 i SWEREF 99 TM.</w:t>
      </w:r>
    </w:p>
    <w:p>
      <w:r>
        <w:t>I och inom 11 meter från avverkningsanmälan finns fynd av 21 naturvårdsarter, varav 8 är rödlistade, 9 är fridlysta, 16 är typiska (T) och 5 är signalarter (S): blackticka (VU), garnlav (VU, T), knärot (VU, T, §8), rosenticka (NT, T), talltita (NT, §4), tretåig hackspett (NT, T, §4), ullticka (NT, T), vedtrappmossa (NT, T), gräsull (S), korallrot (S, T, §8), spindelblomster (S, T, §8), tvåblad (S, §8), ögonpyrola (S, T), ekbräken (T), fjällskära (T), hultbräken (T), kransmossa (T), ormbär (T), spillkråka (T, §4), tjäder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21 fyndplatser för knärot registrerade på Artportalen. Figur 2 visar gränserna för buffertzoner på 50 m, som behöver lämnas kring fyndplatserna för att knärotslokalerna inte ska försvinna vid en avverkning. Av det avverkningsanmälda området överlappar 9.23 ha med buffertzonerna och får av detta skäl inte avverkas.</w:t>
      </w:r>
    </w:p>
    <w:p>
      <w:pPr>
        <w:pStyle w:val="Caption"/>
      </w:pPr>
      <w:r>
        <w:drawing>
          <wp:inline xmlns:a="http://schemas.openxmlformats.org/drawingml/2006/main" xmlns:pic="http://schemas.openxmlformats.org/drawingml/2006/picture">
            <wp:extent cx="5486400" cy="6217065"/>
            <wp:docPr id="2" name="Picture 2"/>
            <wp:cNvGraphicFramePr>
              <a:graphicFrameLocks noChangeAspect="1"/>
            </wp:cNvGraphicFramePr>
            <a:graphic>
              <a:graphicData uri="http://schemas.openxmlformats.org/drawingml/2006/picture">
                <pic:pic>
                  <pic:nvPicPr>
                    <pic:cNvPr id="0" name="A 30249-2026 karta knärot.png"/>
                    <pic:cNvPicPr/>
                  </pic:nvPicPr>
                  <pic:blipFill>
                    <a:blip r:embed="rId17"/>
                    <a:stretch>
                      <a:fillRect/>
                    </a:stretch>
                  </pic:blipFill>
                  <pic:spPr>
                    <a:xfrm>
                      <a:off x="0" y="0"/>
                      <a:ext cx="5486400" cy="621706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7020595, E 468982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 xml:space="preserve">Ekbräken </w:t>
      </w:r>
      <w:r>
        <w:t xml:space="preserve">är typisk art för </w:t>
      </w:r>
      <w:r>
        <w:rPr>
          <w:i/>
        </w:rPr>
        <w:t>9050 Näringsrik granskog</w:t>
      </w:r>
      <w:r>
        <w:t xml:space="preserve"> (SLU Artdatabanken, 2025).</w:t>
      </w:r>
    </w:p>
    <w:p>
      <w:r>
        <w:rPr>
          <w:b/>
        </w:rPr>
        <w:t xml:space="preserve">Fjällskära </w:t>
      </w:r>
      <w:r>
        <w:t xml:space="preserve">är typisk art för </w:t>
      </w:r>
      <w:r>
        <w:rPr>
          <w:i/>
        </w:rPr>
        <w:t xml:space="preserve">9040 Fjällbjörkskog, 6530 Lövängar, 6510 Slåtterängar i låglandet </w:t>
      </w:r>
      <w:r>
        <w:t xml:space="preserve">och </w:t>
      </w:r>
      <w:r>
        <w:rPr>
          <w:i/>
        </w:rPr>
        <w:t>7310 Aapamyrar</w:t>
      </w:r>
      <w:r>
        <w:t>. Fjällskära är värdväxt för bl.a. de rödlistade fjärilarna fjällskärefrövecklare (VU) och fjällskäreplattmal (VU)</w:t>
      </w:r>
      <w:r>
        <w:rPr>
          <w:i/>
        </w:rPr>
        <w:t xml:space="preserve"> </w:t>
      </w:r>
      <w:r>
        <w:t>(SLU Artdatabanken, 2026).</w:t>
      </w:r>
    </w:p>
    <w:p>
      <w:r>
        <w:rPr>
          <w:b/>
        </w:rPr>
        <w:t xml:space="preserve">Hultbräken </w:t>
      </w:r>
      <w:r>
        <w:t xml:space="preserve">är typisk art för </w:t>
      </w:r>
      <w:r>
        <w:rPr>
          <w:i/>
        </w:rPr>
        <w:t xml:space="preserve">9050 Näringsrik granskog </w:t>
      </w:r>
      <w:r>
        <w:t>(SLU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rosenticka (NT, T), tretåig hackspett (NT, T, §4), ullticka (NT, T), vedtrappmossa (NT, T), korallrot (S, T, §8), spindelblomster (S, T, §8), ögonpyrola (S, T), ekbräken (T), fjällskära (T), hultbräken (T), kransmossa (T), ormbär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