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36272-2024 i Krokoms kommun</w:t>
      </w:r>
    </w:p>
    <w:p>
      <w:r>
        <w:t>Detta dokument behandlar höga naturvärden i avverkningsanmälan A 36272-2024 i Krokoms kommun. Denna avverkningsanmälan inkom 2024-08-30 13:51:32 och omfattar 11,1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och rödlistade arter.</w:t>
      </w:r>
    </w:p>
    <w:p>
      <w:pPr>
        <w:pStyle w:val="Heading1"/>
      </w:pPr>
      <w:r>
        <w:t>Naturvårdsarter</w:t>
      </w:r>
    </w:p>
    <w:p>
      <w:r>
        <w:t>I avverkningsanmälan har följande 7 naturvårdsarter hittats: ulltickeporing (VU), doftskinn (NT), garnlav (NT), granticka (NT), tretåig hackspett (NT, §4), ullticka (NT) och trådticka (S). Av dessa är 6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493264"/>
            <wp:docPr id="1" name="Picture 1"/>
            <wp:cNvGraphicFramePr>
              <a:graphicFrameLocks noChangeAspect="1"/>
            </wp:cNvGraphicFramePr>
            <a:graphic>
              <a:graphicData uri="http://schemas.openxmlformats.org/drawingml/2006/picture">
                <pic:pic>
                  <pic:nvPicPr>
                    <pic:cNvPr id="0" name="A 36272-2024 karta.png"/>
                    <pic:cNvPicPr/>
                  </pic:nvPicPr>
                  <pic:blipFill>
                    <a:blip r:embed="rId16"/>
                    <a:stretch>
                      <a:fillRect/>
                    </a:stretch>
                  </pic:blipFill>
                  <pic:spPr>
                    <a:xfrm>
                      <a:off x="0" y="0"/>
                      <a:ext cx="5486400" cy="5493264"/>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7059145, E 462308 i SWEREF 99 TM.</w:t>
      </w:r>
    </w:p>
    <w:p>
      <w:r>
        <w:rPr>
          <w:b/>
        </w:rPr>
        <w:t>Doftskinn (NT)</w:t>
      </w:r>
      <w:r>
        <w:t>, rödlistad som nära hotad, är en mycket bra signalart för boreal granskog och indikerar ett gran-skogsekosystem med lång kontinuitet av grova lågor. Arten är placerad i toppen av Skogsstyrelsens värdepyramid för bedömning av skog med höga naturvärden och har klassats som en “urskogsindikator”, då den förekommer med ett tydligt optimum i helt eller nästan helt orörda skogar (Nitare &amp; Skogsstyrelsen, 2019).</w:t>
      </w:r>
    </w:p>
    <w:p>
      <w:r>
        <w:rPr>
          <w:b/>
        </w:rPr>
        <w:t>Garnlav (NT)</w:t>
      </w:r>
      <w:r>
        <w:t xml:space="preserve"> är en utpräglad barrskogsart som ibland kan drapera träden i norrländska grannaturskogar med hög luftfuktighet. Den förekommer även i talldominerade bestånd där den, förutom i trädens grenverk, påträffas hängande över ojämnheter i tallbarken. Arten har minskat starkt i södra och mellersta Sverige och den minskar även i sitt nordliga utbredningsområde. Orsaken till tillbakagången beror främst på slutavverkningar av naturskogsartade skogar. Bestånd med riklig förekomst bör regelmässigt sparas. Garnlav är värdväxt för den mycket sällsynta och akut hotade fjärilen barrskogslavfly (CR) som hör hemma i boreala barrskogar med riklig förekomst av värdväxten. Tidigare kunde arten konstateras årligen på flera platser vid Dala-Floda i Dalarna innan lokalerna kalavverkades. Senaste fyndet i landet av barrskogslavfly är från år 2000 då den påträffades vid Högberget i Sollefteå kommun (SLU Artdatabanken, 2024).</w:t>
      </w:r>
    </w:p>
    <w:p>
      <w:r>
        <w:rPr>
          <w:b/>
        </w:rPr>
        <w:t>Granticka (NT)</w:t>
      </w:r>
      <w:r>
        <w:t xml:space="preserve"> förekommer främst i äldre skogar med naturskogskaraktär, liksom i dimensionsavverkade och plockhuggna skogar. I äldre grannaturskog i norra Sverige är den alltjämt en förhållandevis vanlig karaktärsart, medan den längre söderut blir allt mer sällsynt. I Götaland och delar av Svealand är den en god signalart för skyddsvärda granskogsmiljöer. Arten bedöms ha minskat starkt under senare år på grund av skogsavverkningar, då den framför allt växer i äldre granskog med långvarig grankontinuitet. I urskogsliknande bestånd i norra Sverige kan ibland påträffas den mycket sällsynta tickan grantickeporing (VU), som lever på döda grantickor (SLU Artdatabanken, 2024; Nitare &amp; Skogsstyrelsen, 2019).</w:t>
      </w:r>
    </w:p>
    <w:p>
      <w:r>
        <w:rPr>
          <w:b/>
        </w:rPr>
        <w:t>Ullticka (NT)</w:t>
      </w:r>
      <w:r>
        <w:t xml:space="preserve"> är knuten till restbestånd av barrnaturskog och förekommer med ett tydligt optimum i orörda eller måttligt påverkade gamla granskogar där det föreligger viss kontinuitet av grov död ved. Ullticka är en bra signalart inom hela sitt utbredningsområde och i södra Sverige är den sällsynt och en god signalart för skyddsvärda granskogsmiljöer. Den hotas av avverkning och fragmentering av naturskog och äldre granskog med lång trädkontinuitet. På ullticka kan ibland ulltickeporing (VU) påträffas - det är en sällsynt ticka som nyligen delats upp i tre olika arter: </w:t>
      </w:r>
      <w:r>
        <w:rPr>
          <w:i/>
        </w:rPr>
        <w:t xml:space="preserve">Skeletocutis brevispora </w:t>
      </w:r>
      <w:r>
        <w:t>(ulltickeporing)</w:t>
      </w:r>
      <w:r>
        <w:rPr>
          <w:i/>
        </w:rPr>
        <w:t>, Skeletocutis delicata och Skeletocutis exilis</w:t>
      </w:r>
      <w:r>
        <w:t>. De två sistnämnda arterna står för närvarande (2020) som ej bedömda i rödlistan (SLU Artdatabanken, 2024; Nitare &amp; Skogsstyrelsen, 2019; Miettinen &amp; Niemelä, 2018).</w:t>
      </w:r>
    </w:p>
    <w:p>
      <w:r>
        <w:rPr>
          <w:b/>
        </w:rPr>
        <w:t xml:space="preserve">Ulltickeporing </w:t>
      </w:r>
      <w:r>
        <w:rPr>
          <w:b/>
          <w:i/>
        </w:rPr>
        <w:t>Skeletocutis brevispora</w:t>
      </w:r>
      <w:r>
        <w:rPr>
          <w:b/>
        </w:rPr>
        <w:t xml:space="preserve"> (VU)</w:t>
      </w:r>
      <w:r>
        <w:t>, rödlistad som sårbar, växer på ullticka (NT) i naturskogsartade granskogar. Avverkning av naturskogslika miljöer och av grova granar där ulltickeporing förekommer är ett direkt hot mot artens fortlevnad. Alla skogliga åtgärder som innebär att lågor och döda eller skadade träd tas bort missgynnar arten. På sikt är minskad tillgång till lämpligt substrat och krympande areal av naturskog ett hot, framförallt råder brist på grov ved som lågor i sena nedbrytningsstadier. Ytterligare fragmentering av skogslandskapet minskar artens möjligheter till spridning. Gamla granskogar som hyser arten undantas helt från skogsbruk (SLU Artdatabanken, 2024).</w:t>
      </w:r>
    </w:p>
    <w:p>
      <w:pPr>
        <w:pStyle w:val="Heading1"/>
      </w:pPr>
      <w:r>
        <w:t>Fridlysta arter</w:t>
      </w:r>
    </w:p>
    <w:p>
      <w:r>
        <w:t>Följande fridlysta arter har sina livsmiljöer och växtplatser i den avverkningsanmälda skogen: tretåig hackspett (NT,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Tretåig hackspett (NT, §4)</w:t>
      </w:r>
      <w:r>
        <w:t xml:space="preserve"> är rödlistad som nära hotad och ingår i bilaga 1 i EU:s fågeldirektiv. Tretåig hackspett är för sin överlevnad beroende av kontinuerlig tillförsel av äldre döende och död ved, som sker genom naturliga självgallringsprocesser i äldre grannaturskogar och barrblandade naturskogar. Om en skog genom skogsbruk gallras eller glesas ur så upphör och uteblir i stort sett den naturliga självgallringsprocessen för mycket lång tid framöver vilket omöjliggör upprätthållandet av den kontinuerliga ekologiska funktionen i ett område. Det finns studier som visar att naturskogens självgallringsprocess som den tretåiga hackspetten är beroende av, inte kan ersättas med efterlämnad hänsyn i skogsbruket (Imbeau &amp; Desrochers, 2002). Storleken på häckningsreviret varierar med skogstypen, förekomsten av död ved och graden av fragmentering, men är i allmänhet i storleksordningen 25–100 hektar. Vintertid krävs ofta betydligt större områden och det finns studier som antyder att arten behöver minst 100 hektar äldre skog. I områden med låg bonitet kan det behövas över 200 hektar lämpligt habitat för att ett par ska kunna reproducera sig. Områden med dokumenterad permanent förekomst i naturskogsmiljöer har vanligen så stora naturvärden att skogsbruk är olämpligt (Skogsstyrelsen, 2016).</w:t>
      </w:r>
    </w:p>
    <w:p>
      <w:r>
        <w:t>I BILAGA 1 finns mer detaljerad information om ekologi samt krav på livsmiljö hos fridlysta arter.</w:t>
      </w:r>
    </w:p>
    <w:p>
      <w:r>
        <w:br w:type="page"/>
      </w:r>
    </w:p>
    <w:p>
      <w:pPr>
        <w:pStyle w:val="Title"/>
      </w:pPr>
      <w:r>
        <w:t>BILAGA 1 –</w:t>
        <w:br/>
        <w:t>Fridlysta och rödlistade arter</w:t>
      </w:r>
    </w:p>
    <w:p>
      <w:pPr>
        <w:pStyle w:val="Heading1"/>
      </w:pPr>
      <w:r>
        <w:t>Tretåig hackspett – ekologi samt krav på livsmiljön</w:t>
      </w:r>
    </w:p>
    <w:p>
      <w:r>
        <w:t xml:space="preserve">Tretåig hackspett (NT) är fridlyst enligt §4 Artskyddsförordningen och finns med som prioriterad art i Skogsstyrelsen vägledning för skogsbruket (bilaga 4 till SVL). I vägledningen står bland annat att: </w:t>
      </w:r>
      <w:r>
        <w:rPr>
          <w:i/>
        </w:rPr>
        <w:t xml:space="preserve">“Tretåig hackspett har stora arealkrav och höga krav på sin livsmiljö. Omdaningen av naturskogar till kulturskogar medför en förlust av viktiga miljöer, något som förstärks av ökad fragmentering till följd av avverkningar.” </w:t>
      </w:r>
      <w:r>
        <w:t xml:space="preserve">Vidare att: </w:t>
      </w:r>
      <w:r>
        <w:rPr>
          <w:i/>
        </w:rPr>
        <w:t>“Områden med dokumenterad permanent förekomst i naturskogsmiljöer har vanligen så stora naturvärden att skogsbruk är olämpligt”.</w:t>
      </w:r>
    </w:p>
    <w:p>
      <w:r>
        <w:t>Tretåig hackspett är beroende av större sammanhängande naturskogar med kontinuerlig tillgång och nybildning av död ved och fragmentering av livsmiljöerna utgör ett stort hot mot arten (se exempelvis Stachura-Skierczynska et al., 2009; Wesolowski et al., 2005; Butler et al., 2004; Pakkala et al., 2002; Amcoff et al., 1996; Virkkala, 1991). Det finns studier som visar att naturskogens självgallringsprocess som den tretåiga hackspetten är beroende av, inte kan ersättas med efterlämnad hänsyn i skogsbruket (Imbeau &amp; Desrochers, 2002).</w:t>
      </w:r>
    </w:p>
    <w:p>
      <w:r>
        <w:t>Permanenta revir av tretåig hackspett karaktäriseras ofta av artens typiska ringformigt ordnade hackmärken på framför allt gamla granar. För att säkerställa att inte revir av tretåig hackspett drabbas av avverkningsplanerna bör en inventering göras i området både under häckningstid och under vintern, då arten utnyttjar betydligt större områden än under sommarens häckningsrevir. Storleken på häckningsreviret varierar med skogstypen, förekomsten av död ved och graden av fragmentering, men är i allmänhet i storleksordningen 25–100 hektar.</w:t>
      </w:r>
    </w:p>
    <w:p>
      <w:r>
        <w:t>Förutom fridlysning enligt §4 Artskyddsförordningen är tretåig hackspett även förtecknad i EU:s fågeldirektiv bilaga 1. Den ingår också i Natura 2000 och är förtecknad i Bernkonventionen bilaga II (strikt skyddade djurarter).</w:t>
      </w:r>
    </w:p>
    <w:p>
      <w:pPr>
        <w:pStyle w:val="Heading2"/>
      </w:pPr>
      <w:r>
        <w:t>Referenser – tretåig hackspett</w:t>
      </w:r>
    </w:p>
    <w:p>
      <w:r>
        <w:t xml:space="preserve">Amcoff, M. &amp; Eriksson, P. 1996. </w:t>
      </w:r>
      <w:r>
        <w:rPr>
          <w:i/>
        </w:rPr>
        <w:t xml:space="preserve">Förekomst av tretåig hackspett Picoides tridactylus på bestånds- och landskapsnivå. </w:t>
      </w:r>
      <w:r>
        <w:t>Ornis Svecica 6: 107–119</w:t>
      </w:r>
    </w:p>
    <w:p>
      <w:r>
        <w:t xml:space="preserve">Butler, R., Angelstam, P., Ekelund, P. &amp; Schlaeffer, R. 2004. </w:t>
      </w:r>
      <w:r>
        <w:rPr>
          <w:i/>
        </w:rPr>
        <w:t xml:space="preserve">Dead wood threshold values for the three-toed woodpecker presence in boreal and sub-Alpine forest. </w:t>
      </w:r>
      <w:r>
        <w:t>Biological conservation 119(3): 305–318</w:t>
      </w:r>
    </w:p>
    <w:p>
      <w:r>
        <w:t xml:space="preserve">Imbeau, L. &amp; Desrochers, A. 2002. </w:t>
      </w:r>
      <w:r>
        <w:rPr>
          <w:i/>
        </w:rPr>
        <w:t xml:space="preserve">Foraging Ecology and Use of Drumming Trees by Three-Toed Woodpeckers. </w:t>
      </w:r>
      <w:r>
        <w:t>The Journal of Wildlife Management. Vol. 66, No. 1 (Jan., 2002), pp. 222–231.</w:t>
      </w:r>
    </w:p>
    <w:p>
      <w:r>
        <w:t xml:space="preserve">Pakkala, T., Hanski, I. &amp; Tomppo, E. 2002. </w:t>
      </w:r>
      <w:r>
        <w:rPr>
          <w:i/>
        </w:rPr>
        <w:t xml:space="preserve">Spatial ecology of the three-toed woodpecker in managed forest landscapes. </w:t>
      </w:r>
      <w:r>
        <w:t>Silva Fennica 36(1): 279–288.</w:t>
      </w:r>
    </w:p>
    <w:p>
      <w:r>
        <w:t xml:space="preserve">Skogsstyrelsen, 2016. </w:t>
      </w:r>
      <w:r>
        <w:rPr>
          <w:i/>
        </w:rPr>
        <w:t xml:space="preserve">Vägledning för hänsyn till fåglar – Tretåig hackspett. </w:t>
      </w:r>
      <w:r>
        <w:t>www.skogsstyrelsen.se</w:t>
      </w:r>
    </w:p>
    <w:p>
      <w:r>
        <w:t xml:space="preserve">Stachura-Skierczynska, K., Tumiel, T. &amp; Skierczynski, M. 2009. </w:t>
      </w:r>
      <w:r>
        <w:rPr>
          <w:i/>
        </w:rPr>
        <w:t xml:space="preserve">Habitat prediction model for three-toed woodpecker and its implications for the conservation of biologically valuable forests. </w:t>
      </w:r>
      <w:r>
        <w:t>Forest Ecology and Management 258(5): 697–703.</w:t>
      </w:r>
    </w:p>
    <w:p>
      <w:r>
        <w:t xml:space="preserve">Virkkala, R. 1991. </w:t>
      </w:r>
      <w:r>
        <w:rPr>
          <w:i/>
        </w:rPr>
        <w:t xml:space="preserve">Population trends of forest birds in a Finnish Lapland landscape of large habitat blocks – Consequences of stochastic environmental variation or regional habitat alteration. </w:t>
      </w:r>
      <w:r>
        <w:t>Biological conservation 56(2): 223–240</w:t>
      </w:r>
    </w:p>
    <w:p>
      <w:r>
        <w:t xml:space="preserve">Wesolowski, T., Czeszczewik, D. &amp; Rowinski, P. 2005. </w:t>
      </w:r>
      <w:r>
        <w:rPr>
          <w:i/>
        </w:rPr>
        <w:t xml:space="preserve">Effects of forest management on Three-toed Woodpecker Picoides tridactylus distribution in the Bialowieza Forest (NE Poland): conservation implications. </w:t>
      </w:r>
      <w:r>
        <w:t>Acta Ornithologica 40(1): 53–60.</w:t>
      </w:r>
    </w:p>
    <w:p>
      <w:pPr>
        <w:pStyle w:val="Heading1"/>
      </w:pPr>
      <w:r>
        <w:t>Ulltickeporing – ekologi samt krav på livsmiljön</w:t>
      </w:r>
    </w:p>
    <w:p>
      <w:r>
        <w:t xml:space="preserve">Ulltickeporing </w:t>
      </w:r>
      <w:r>
        <w:rPr>
          <w:i/>
        </w:rPr>
        <w:t>Skeletocutis brevispora</w:t>
      </w:r>
      <w:r>
        <w:t xml:space="preserve"> (VU), rödlistad som sårbar, växer på ullticka (NT) i naturskogsartade granskogar. Avverkning av naturskogslika miljöer och av grova granar där ulltickeporing förekommer är ett direkt hot mot artens fortlevnad Alla skogliga åtgärder som innebär att lågor och döda eller skadade träd tas bort missgynnar arten. På sikt är minskad tillgång till lämpligt substrat och krympande areal av naturskog ett hot, framförallt råder brist på grov ved som lågor i sena nedbrytningsstadier. Ytterligare fragmentering av skogslandskapet minskar artens möjligheter till spridning. Gamla granskogar som hyser arten undantas helt från skogsbruk (SLU Artdatabanken, 2024).</w:t>
      </w:r>
    </w:p>
    <w:p>
      <w:r>
        <w:t xml:space="preserve">Ulltickeporingen har nyligen delats upp i tre olika arter: </w:t>
      </w:r>
      <w:r>
        <w:rPr>
          <w:i/>
        </w:rPr>
        <w:t xml:space="preserve">Skeletocutis brevispora </w:t>
      </w:r>
      <w:r>
        <w:t>(ulltickeporing)</w:t>
      </w:r>
      <w:r>
        <w:rPr>
          <w:i/>
        </w:rPr>
        <w:t>, Skeletocutis delicata och Skeletocutis exilis</w:t>
      </w:r>
      <w:r>
        <w:t xml:space="preserve"> (Miettinen &amp; Niemelä, 2018). Skeletocutis delicata och Skeletocutis exilis står för närvarande (2020) som ej bedömda i rödlistan.</w:t>
      </w:r>
    </w:p>
    <w:p>
      <w:pPr>
        <w:pStyle w:val="Heading2"/>
      </w:pPr>
      <w:r>
        <w:t>Referenser – ulltickeporing</w:t>
      </w:r>
    </w:p>
    <w:p>
      <w:r>
        <w:t xml:space="preserve">Miettinen, O. &amp; Niemelä, T., 2018. </w:t>
      </w:r>
      <w:r>
        <w:rPr>
          <w:i/>
        </w:rPr>
        <w:t>Two new temperate polypore species of Skeletocutis (Polyporales, Basidiomycota)</w:t>
      </w:r>
      <w:r>
        <w:t>. Ann. Bot. Fennici 55: 195–206.</w:t>
      </w:r>
    </w:p>
    <w:p>
      <w:r>
        <w:t xml:space="preserve">SLU Artdatabanken, 2024.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2026-01-16</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