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33021-2026 i Krokoms kommun</w:t>
      </w:r>
    </w:p>
    <w:p>
      <w:r>
        <w:t>Detta klagomål behandlar höga naturvärden i avverkningsanmälan A 33021-2026 i Krokoms kommun som inkom 2026-08-10 och omfattar 17,8 ha.</w:t>
      </w:r>
    </w:p>
    <w:p>
      <w:pPr>
        <w:pStyle w:val="Caption"/>
      </w:pPr>
      <w:r>
        <w:drawing>
          <wp:inline xmlns:a="http://schemas.openxmlformats.org/drawingml/2006/main" xmlns:pic="http://schemas.openxmlformats.org/drawingml/2006/picture">
            <wp:extent cx="5486400" cy="4021475"/>
            <wp:docPr id="1" name="Picture 1"/>
            <wp:cNvGraphicFramePr>
              <a:graphicFrameLocks noChangeAspect="1"/>
            </wp:cNvGraphicFramePr>
            <a:graphic>
              <a:graphicData uri="http://schemas.openxmlformats.org/drawingml/2006/picture">
                <pic:pic>
                  <pic:nvPicPr>
                    <pic:cNvPr id="0" name="A 33021-2026 karta.png"/>
                    <pic:cNvPicPr/>
                  </pic:nvPicPr>
                  <pic:blipFill>
                    <a:blip r:embed="rId16"/>
                    <a:stretch>
                      <a:fillRect/>
                    </a:stretch>
                  </pic:blipFill>
                  <pic:spPr>
                    <a:xfrm>
                      <a:off x="0" y="0"/>
                      <a:ext cx="5486400" cy="40214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7047814, E 442349 i SWEREF 99 TM.</w:t>
      </w:r>
    </w:p>
    <w:p>
      <w:r>
        <w:t>I avverkningsanmälan finns fynd av 8 naturvårdsarter, varav 6 är rödlistade, 4 är fridlysta, 7 är typiska (T) och 1 är signalart (S): harticka (NT, T), lavskrika (NT, T, §4), rynkskinn (NT, T), talltita (NT, §4), tretåig hackspett (NT, T, §4), ullticka (NT, T), trådticka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