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31237-2026 i Krokoms kommun</w:t>
      </w:r>
    </w:p>
    <w:p>
      <w:r>
        <w:t>Denna tillsynsbegäran behandlar höga naturvärden i avverkningsanmälan A 31237-2026 i Krokoms kommun som inkom 2026-07-07 och omfattar 26,5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1237-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7044470, E 476835 i SWEREF 99 TM.</w:t>
      </w:r>
    </w:p>
    <w:p>
      <w:r>
        <w:t>I och inom 18 meter från avverkningsanmälan finns fynd av 37 naturvårdsarter, varav 17 är rödlistade, 11 är fridlysta, 31 är typiska (T) och 10 är signalarter (S): doftticka (VU, T, §8), garnlav (VU, T), gränsticka (VU, T), knärot (VU, T, §8), ulltickeporing (VU), doftskinn (NT, T), gammelgransskål (NT, T), harticka (NT, T), lunglav (NT, T), rosenticka (NT, T), skrovellav (NT, T), talltita (NT, §4), tretåig hackspett (NT, T, §4), ullticka (NT, T), vedskivlav (NT, T), vedtrappmossa (NT, T), äggvaxskivling (NT), barkkornlav (S, T), bårdlav (S, T), korallrot (S, T, §8), luddlav (S, T), spindelblomster (S, T, §8), stuplav (S, T), trådticka (S, T), tvåblad (S, §8), vedticka (S, T), ögonpyrola (S, T), brudborste (T), hultbräken (T), järpe (T, §4), kransmossa (T), liljekonvalj (T), nordisk stormhatt (T), ormbär (T), spillkråka (T, §4),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1237-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7044470, E 476835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knärot (VU, T, §8), doftskinn (NT, T), gammelgransskål (NT, T), harticka (NT, T), lunglav (NT, T), rosenticka (NT, T), skrovellav (NT, T), tretåig hackspett (NT, T, §4), ullticka (NT, T), vedskivlav (NT, T), vedtrappmossa (NT, T), barkkornlav (S, T), bårdlav (S, T), korallrot (S, T, §8), luddlav (S, T), spindelblomster (S, T, §8), stuplav (S, T), trådticka (S, T), vedticka (S, T), ögonpyrola (S, T), brudborste (T), hultbräken (T), järpe (T, §4), kransmossa (T), liljekonvalj (T), nordisk stormhatt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