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24 naturvårdsarter, varav 15 är rödlistade, 4 är fridlysta, 18 är typiska (T) och 7 är signalarter (S): garnlav (VU, T), knärot (VU, T, §8), mjölig dropplav (VU), vitskaftad svartspik (VU, T), doftskinn (NT, T), harticka (NT, T), lavskrika (NT, T, §4), liten svartspik (NT), lunglav (NT, T), rödbrun blekspik (NT, T), skrovellav (NT, T), talltagel (NT, T), tretåig hackspett (NT, T, §4), ullticka (NT, T), vitgrynig nållav (NT), barkkornlav (S, T), norrlandslav (S, T), rostfläck (S, T), stuplav (S, T), svavelriska (S), trådfräken (S), vedticka (S, T), kärrfibbla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tretåig hackspett (NT, T, §4), ullticka (NT, T), barkkornlav (S, T), norrlandslav (S, T), rostfläck (S, T), stuplav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