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17100-2026 i Krokoms kommun</w:t>
      </w:r>
    </w:p>
    <w:p>
      <w:r>
        <w:t>Denna tillsynsbegäran behandlar höga naturvärden i avverkningsanmälan A 17100-2026 i Krokoms kommun som inkom 2026-04-02 och omfattar 19,4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7042901, E 467992 i SWEREF 99 TM.</w:t>
      </w:r>
    </w:p>
    <w:p>
      <w:r>
        <w:t>I avverkningsanmälan finns fynd av 10 naturvårdsarter, varav 7 är rödlistade, 4 är fridlysta, 8 är typiska (T) och 1 är signalart (S): garnlav (VU, T), knärot (VU, T, §8), kolflarnlav (NT, T), lunglav (NT, T), mörk kolflarnlav (NT), skrovellav (NT, T), tretåig hackspett (NT, T, §4), stuplav (S, T),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tretåig hackspett (NT, T, §4), stuplav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