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28823-2024 i Krokoms kommun</w:t>
      </w:r>
    </w:p>
    <w:p>
      <w:r>
        <w:t>Denna tillsynsbegäran behandlar höga naturvärden i avverkningsanmälan A 28823-2024 i Krokoms kommun som inkom 2024-07-05 och omfattar 4,7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7037545, E 455863 i SWEREF 99 TM.</w:t>
      </w:r>
    </w:p>
    <w:p>
      <w:r>
        <w:t>I och inom 19 meter från avverkningsanmälan finns fynd av 21 naturvårdsarter, varav 11 är rödlistade, 13 är typiska (T) och 10 är signalarter (S): fjällig knopplav (VU), garnlav (VU, T), mjölig dropplav (VU), skuggnål (VU), smalskaftslav (VU), gammelgransskål (NT, T), liten svartspik (NT), Rostania pallida (NT), rödbrun blekspik (NT, T), ullticka (NT, T), vitgrynig nållav (NT), barkkornlav (S, T), gulnål (S, T), gytterlav (S, T), korallblylav (S, T), mörk husmossa (S, T), rostfläck (S, T), stuplav (S, T), svavelriska (S),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rödbrun blekspik (NT, T), ullticka (NT, T), barkkornlav (S, T), gulnål (S, T), gytterlav (S, T), korallblylav (S, T), mörk husmossa (S, T), rostfläck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