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51998-2025 i Krokoms kommun</w:t>
      </w:r>
    </w:p>
    <w:p>
      <w:r>
        <w:t>Detta dokument behandlar höga naturvärden i avverkningsanmälan A 51998-2025 i Krokoms kommun. Denna avverkningsanmälan inkom 2025-10-22 14:07:30 och omfattar 10,3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25 naturvårdsarter hittats: knärot (VU, §8), tallbit (VU, §4), blanksvart spiklav (NT), brunpudrad nållav (NT), garnlav (NT), granticka (NT), harticka (NT), spillkråka (NT, §4), talltita (NT, §4), tretåig hackspett (NT, §4), ullticka (NT), finbräken (S), guckusko (S, §7), korallrot (S, §8), rödgul trumpetsvamp (S), spindelblomster (S, §8), svavelriska (S), trådfräken (S), tvåblad (S, §8), vedticka (S), ögonpyrola (S), sparvuggla (§4), brudsporre (§8), fläcknycklar (§8) och revlummer (§9).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92205"/>
            <wp:docPr id="1" name="Picture 1"/>
            <wp:cNvGraphicFramePr>
              <a:graphicFrameLocks noChangeAspect="1"/>
            </wp:cNvGraphicFramePr>
            <a:graphic>
              <a:graphicData uri="http://schemas.openxmlformats.org/drawingml/2006/picture">
                <pic:pic>
                  <pic:nvPicPr>
                    <pic:cNvPr id="0" name="A 51998-2025 karta.png"/>
                    <pic:cNvPicPr/>
                  </pic:nvPicPr>
                  <pic:blipFill>
                    <a:blip r:embed="rId16"/>
                    <a:stretch>
                      <a:fillRect/>
                    </a:stretch>
                  </pic:blipFill>
                  <pic:spPr>
                    <a:xfrm>
                      <a:off x="0" y="0"/>
                      <a:ext cx="5486400" cy="57922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7023528, E 470083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Finbräken är typisk art för </w:t>
      </w:r>
      <w:r>
        <w:rPr>
          <w:i/>
        </w:rPr>
        <w:t xml:space="preserve">9050 Näringsrik granskog </w:t>
      </w:r>
      <w:r>
        <w:t xml:space="preserve">och </w:t>
      </w:r>
      <w:r>
        <w:rPr>
          <w:i/>
        </w:rPr>
        <w:t xml:space="preserve">9040 Fjällbjörkskog </w:t>
      </w:r>
      <w:r>
        <w:t>(SLU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Fridlysta arter</w:t>
      </w:r>
    </w:p>
    <w:p>
      <w:r>
        <w:t>Följande fridlysta arter har sina livsmiljöer och växtplatser i den avverkningsanmälda skogen: knärot (VU, §8), tallbit (VU, §4), spillkråka (NT, §4), talltita (NT, §4), tretåig hackspett (NT, §4), guckusko (S, §7), korallrot (S, §8), spindelblomster (S, §8), tvåblad (S, §8), sparvuggla (§4), brudsporre (§8), fläcknycklar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1.24 ha med buffertzonerna och får av detta skäl inte avverkas.</w:t>
      </w:r>
    </w:p>
    <w:p>
      <w:pPr>
        <w:pStyle w:val="Caption"/>
      </w:pPr>
      <w:r>
        <w:drawing>
          <wp:inline xmlns:a="http://schemas.openxmlformats.org/drawingml/2006/main" xmlns:pic="http://schemas.openxmlformats.org/drawingml/2006/picture">
            <wp:extent cx="5486400" cy="7553534"/>
            <wp:docPr id="2" name="Picture 2"/>
            <wp:cNvGraphicFramePr>
              <a:graphicFrameLocks noChangeAspect="1"/>
            </wp:cNvGraphicFramePr>
            <a:graphic>
              <a:graphicData uri="http://schemas.openxmlformats.org/drawingml/2006/picture">
                <pic:pic>
                  <pic:nvPicPr>
                    <pic:cNvPr id="0" name="A 51998-2025 karta knärot.png"/>
                    <pic:cNvPicPr/>
                  </pic:nvPicPr>
                  <pic:blipFill>
                    <a:blip r:embed="rId17"/>
                    <a:stretch>
                      <a:fillRect/>
                    </a:stretch>
                  </pic:blipFill>
                  <pic:spPr>
                    <a:xfrm>
                      <a:off x="0" y="0"/>
                      <a:ext cx="5486400" cy="755353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7023528, E 470083 i SWEREF 99 TM.</w:t>
      </w:r>
    </w:p>
    <w:p>
      <w:pPr>
        <w:pStyle w:val="Caption"/>
      </w:pP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