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5188-2026 i Krokoms kommun</w:t>
      </w:r>
    </w:p>
    <w:p>
      <w:r>
        <w:t>Detta dokument behandlar höga naturvärden i avverkningsanmälan A 5188-2026 i Krokoms kommun. Denna avverkningsanmälan inkom 2026-01-26 00:00:00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kungsspindel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50287"/>
            <wp:docPr id="1" name="Picture 1"/>
            <wp:cNvGraphicFramePr>
              <a:graphicFrameLocks noChangeAspect="1"/>
            </wp:cNvGraphicFramePr>
            <a:graphic>
              <a:graphicData uri="http://schemas.openxmlformats.org/drawingml/2006/picture">
                <pic:pic>
                  <pic:nvPicPr>
                    <pic:cNvPr id="0" name="A 5188-2026 karta.png"/>
                    <pic:cNvPicPr/>
                  </pic:nvPicPr>
                  <pic:blipFill>
                    <a:blip r:embed="rId16"/>
                    <a:stretch>
                      <a:fillRect/>
                    </a:stretch>
                  </pic:blipFill>
                  <pic:spPr>
                    <a:xfrm>
                      <a:off x="0" y="0"/>
                      <a:ext cx="5486400" cy="755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7037476, E 453567 i SWEREF 99 TM.</w:t>
      </w:r>
    </w:p>
    <w:p>
      <w:r>
        <w:rPr>
          <w:b/>
        </w:rPr>
        <w:t>Kungsspindel (NT)</w:t>
      </w:r>
      <w:r>
        <w:t xml:space="preserve"> är framförallt funnen i naturskogar och gammal lavgranskog. Exakt ekologi och biotopkrav är inte känt men de kända fyndbiotoperna minskar kontinuerligt. Avverkning av äldre skog och kontinuitetsskog på framförallt produktiv mark har sannolikt missgynnat arten. Äldre barrskog (kontinuitetsskog) på produktiv mark behöver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