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35855-2024 i Krokoms kommun</w:t>
      </w:r>
    </w:p>
    <w:p>
      <w:r>
        <w:t>Detta dokument behandlar höga naturvärden i avverkningsanmälan A 35855-2024 i Krokoms kommun. Denna avverkningsanmälan inkom 2024-08-29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rynkskinn (VU), smalskaftslav (VU), garnlav (NT), granticka (NT), liten svartspik (NT), rödbrun blekspik (NT), vitgrynig nållav (NT), barkkornlav (S), gulnål (S), korallrot (S, §8), mörk husmossa (S), rostfläck (S), svavelriska (S), trådfräken (S), underviol (S), ögonpyrola (S) och blåsippa (§9). Av dessa är 7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21619"/>
            <wp:docPr id="1" name="Picture 1"/>
            <wp:cNvGraphicFramePr>
              <a:graphicFrameLocks noChangeAspect="1"/>
            </wp:cNvGraphicFramePr>
            <a:graphic>
              <a:graphicData uri="http://schemas.openxmlformats.org/drawingml/2006/picture">
                <pic:pic>
                  <pic:nvPicPr>
                    <pic:cNvPr id="0" name="A 35855-2024 karta.png"/>
                    <pic:cNvPicPr/>
                  </pic:nvPicPr>
                  <pic:blipFill>
                    <a:blip r:embed="rId16"/>
                    <a:stretch>
                      <a:fillRect/>
                    </a:stretch>
                  </pic:blipFill>
                  <pic:spPr>
                    <a:xfrm>
                      <a:off x="0" y="0"/>
                      <a:ext cx="5486400" cy="452161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7039928, E 445014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 xml:space="preserve">Mörk husmossa </w:t>
      </w:r>
      <w:r>
        <w:t>är en mycket bra signalart i södra och mellersta Sverige. Den är sannolikt svårspridd och växer huvudsakligen i skog med lång skoglig kontinuitet i områden med konstant hög luftfuktighet. Den är känslig för större avverkningar, men tål plockhuggning som lämnar ett tätare trädskikt och ett obrutet, fukthållande mosstäcke på marken. Ett par studier har klart visat att artens tillväxt försämras när skogen huggs ner intill växtplatsen, och att ett kalhygges påverkan på mörk husmossa avtar både med avståndet från kalhygget och ju fuktigare växtplatsen är (SLU Artdatabanken, 2024; Nitare &amp; Skogsstyrelsen, 2019).</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signalerar alltid höga naturvärden (SLU Artdatabanken, 2024; Nitare &amp; Skogsstyrelsen, 2019).</w:t>
      </w:r>
    </w:p>
    <w:p>
      <w:r>
        <w:rPr>
          <w:b/>
        </w:rPr>
        <w:t>Smalskaftslav (VU)</w:t>
      </w:r>
      <w:r>
        <w:t>, rödlistad som sårbar, påträffas i gamla barrskogar eller lövskogar med mycket hög och jämn luftfuktighet. Arten är placerad i toppen av Skogsstyrelsens värdepyramid för bedömning av skog med höga naturvärden och alla skogsbruksåtgärder som kan påverka hydrologi och fuktighetsförhållandena på eller i omedelbar närhet av växtplatserna, t.ex. utglesning eller slutavverkning, är ett hot. Samtliga förekomster bör skyddas tillsammans med väl tilltagna skyddszoner (Nitare &amp; Skogsstyrelsen, 2019; SLU Artdatabanken, 2024).</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korallrot (S, §8) och blåsippa (§9).</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