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klagomål behandlar höga naturvärden i avverkningsanmälan A 34013-2025 i Krokoms kommun som inkom 2025-07-07 och omfattar 48,7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7055625, E 463320 i SWEREF 99 TM.</w:t>
      </w:r>
    </w:p>
    <w:p>
      <w:r>
        <w:t>I och inom 3 meter från avverkningsanmälan finns fynd av 22 naturvårdsarter, varav 16 är rödlistade, 6 är fridlysta, 18 är typiska (T) och 5 är signalarter (S): pärluggla (EN, T, §4), garnlav (VU, T), gränsticka (VU, T), vitskaftad svartspik (VU, T), doftskinn (NT, T), gammelgransskål (NT, T), harticka (NT, T), kungsörn (NT, §4), lavskrika (NT, T, §4), lunglav (NT, T), rynkskinn (NT, T), skrovellav (NT, T), talltita (NT, §4), tretåig hackspett (NT, T, §4), vedflikmossa (NT), vedtrappmossa (NT, T), bronshjon (S, T), bårdlav (S, T), rostfläck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